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D901C2">
      <w:pPr>
        <w:jc w:val="center"/>
        <w:rPr>
          <w:rFonts w:cs="Times New Roman"/>
          <w:b/>
          <w:szCs w:val="24"/>
        </w:rPr>
      </w:pPr>
      <w:bookmarkStart w:id="0" w:name="_GoBack"/>
      <w:r>
        <w:rPr>
          <w:rFonts w:cs="Times New Roman"/>
          <w:b/>
          <w:szCs w:val="24"/>
        </w:rPr>
        <w:t>Coca-Cola Company Financial A</w:t>
      </w:r>
      <w:r w:rsidR="00DA5F9B" w:rsidRPr="00F22F23">
        <w:rPr>
          <w:rFonts w:cs="Times New Roman"/>
          <w:b/>
          <w:szCs w:val="24"/>
        </w:rPr>
        <w:t>nalysis</w:t>
      </w:r>
    </w:p>
    <w:bookmarkEnd w:id="0"/>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DA5F9B">
      <w:pPr>
        <w:spacing w:line="480" w:lineRule="auto"/>
        <w:jc w:val="center"/>
        <w:rPr>
          <w:rFonts w:cs="Times New Roman"/>
          <w:szCs w:val="24"/>
        </w:rPr>
      </w:pPr>
      <w:r w:rsidRPr="00F22F23">
        <w:rPr>
          <w:rFonts w:cs="Times New Roman"/>
          <w:szCs w:val="24"/>
        </w:rPr>
        <w:t>Student's Name</w:t>
      </w:r>
    </w:p>
    <w:p w:rsidR="00C4447D" w:rsidRPr="00F22F23" w:rsidRDefault="00DA5F9B">
      <w:pPr>
        <w:spacing w:line="480" w:lineRule="auto"/>
        <w:jc w:val="center"/>
        <w:rPr>
          <w:rFonts w:cs="Times New Roman"/>
          <w:szCs w:val="24"/>
        </w:rPr>
      </w:pPr>
      <w:r w:rsidRPr="00F22F23">
        <w:rPr>
          <w:rFonts w:cs="Times New Roman"/>
          <w:szCs w:val="24"/>
        </w:rPr>
        <w:t>Institution Affiliation</w:t>
      </w:r>
    </w:p>
    <w:p w:rsidR="00C4447D" w:rsidRPr="00F22F23" w:rsidRDefault="00DA5F9B">
      <w:pPr>
        <w:spacing w:line="480" w:lineRule="auto"/>
        <w:jc w:val="center"/>
        <w:rPr>
          <w:rFonts w:cs="Times New Roman"/>
          <w:szCs w:val="24"/>
        </w:rPr>
      </w:pPr>
      <w:r w:rsidRPr="00F22F23">
        <w:rPr>
          <w:rFonts w:cs="Times New Roman"/>
          <w:szCs w:val="24"/>
        </w:rPr>
        <w:t>Course Number and Name</w:t>
      </w:r>
    </w:p>
    <w:p w:rsidR="00C4447D" w:rsidRPr="00F22F23" w:rsidRDefault="00DA5F9B">
      <w:pPr>
        <w:spacing w:line="480" w:lineRule="auto"/>
        <w:jc w:val="center"/>
        <w:rPr>
          <w:rFonts w:cs="Times New Roman"/>
          <w:szCs w:val="24"/>
        </w:rPr>
      </w:pPr>
      <w:r w:rsidRPr="00F22F23">
        <w:rPr>
          <w:rFonts w:cs="Times New Roman"/>
          <w:szCs w:val="24"/>
        </w:rPr>
        <w:t>Instructor</w:t>
      </w:r>
    </w:p>
    <w:p w:rsidR="00C4447D" w:rsidRPr="00F22F23" w:rsidRDefault="00DA5F9B">
      <w:pPr>
        <w:jc w:val="center"/>
        <w:rPr>
          <w:rFonts w:cs="Times New Roman"/>
          <w:szCs w:val="24"/>
        </w:rPr>
      </w:pPr>
      <w:r w:rsidRPr="00F22F23">
        <w:rPr>
          <w:rFonts w:cs="Times New Roman"/>
          <w:szCs w:val="24"/>
        </w:rPr>
        <w:t>Date</w:t>
      </w: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jc w:val="center"/>
        <w:rPr>
          <w:rFonts w:cs="Times New Roman"/>
          <w:b/>
          <w:szCs w:val="24"/>
        </w:rPr>
      </w:pPr>
    </w:p>
    <w:p w:rsidR="00C4447D" w:rsidRPr="00F22F23" w:rsidRDefault="00C4447D">
      <w:pPr>
        <w:rPr>
          <w:rFonts w:cs="Times New Roman"/>
          <w:b/>
          <w:szCs w:val="24"/>
        </w:rPr>
      </w:pPr>
    </w:p>
    <w:p w:rsidR="00C4447D" w:rsidRPr="00F22F23" w:rsidRDefault="00D901C2">
      <w:pPr>
        <w:jc w:val="center"/>
        <w:rPr>
          <w:rFonts w:cs="Times New Roman"/>
          <w:b/>
          <w:szCs w:val="24"/>
        </w:rPr>
      </w:pPr>
      <w:r>
        <w:rPr>
          <w:rFonts w:cs="Times New Roman"/>
          <w:b/>
          <w:szCs w:val="24"/>
        </w:rPr>
        <w:lastRenderedPageBreak/>
        <w:t>Coca-Cola Company Financial A</w:t>
      </w:r>
      <w:r w:rsidR="00DA5F9B" w:rsidRPr="00F22F23">
        <w:rPr>
          <w:rFonts w:cs="Times New Roman"/>
          <w:b/>
          <w:szCs w:val="24"/>
        </w:rPr>
        <w:t>nalysis</w:t>
      </w:r>
    </w:p>
    <w:p w:rsidR="00C4447D" w:rsidRPr="00F22F23" w:rsidRDefault="00DA5F9B" w:rsidP="00F22F23">
      <w:pPr>
        <w:spacing w:line="480" w:lineRule="auto"/>
        <w:ind w:firstLine="720"/>
        <w:rPr>
          <w:rFonts w:cs="Times New Roman"/>
          <w:szCs w:val="24"/>
        </w:rPr>
      </w:pPr>
      <w:r w:rsidRPr="00F22F23">
        <w:rPr>
          <w:rFonts w:cs="Times New Roman"/>
          <w:szCs w:val="24"/>
        </w:rPr>
        <w:t xml:space="preserve">Coca-Cola is one of the leading manufacturer, marketer, and distributors of non-alcoholic beverages, concentrates, and syrups, founded in 1886, and the head office is located in USA California. As a leading supplier, coca-cola supplies to more than 200 countries with more than 400 brands. The company's subsidiary covers up to 30 000 employees around the world, according to (Xiao &amp; Zhang, 2020). The market in which coca-cola operates is dominated by PepsiCo and Dr. Pepper Snapple group. Coca-Cola claims roughly 47% of the global market, followed by PepsiCo at 21%. </w:t>
      </w:r>
    </w:p>
    <w:p w:rsidR="00C4447D" w:rsidRPr="00F22F23" w:rsidRDefault="00DA5F9B" w:rsidP="00F22F23">
      <w:pPr>
        <w:spacing w:line="480" w:lineRule="auto"/>
        <w:rPr>
          <w:rFonts w:cs="Times New Roman"/>
          <w:b/>
          <w:szCs w:val="24"/>
        </w:rPr>
      </w:pPr>
      <w:r w:rsidRPr="00F22F23">
        <w:rPr>
          <w:rFonts w:cs="Times New Roman"/>
          <w:b/>
          <w:szCs w:val="24"/>
        </w:rPr>
        <w:t>Company's Strategy</w:t>
      </w:r>
    </w:p>
    <w:p w:rsidR="00C4447D" w:rsidRPr="00F22F23" w:rsidRDefault="00DA5F9B" w:rsidP="00F22F23">
      <w:pPr>
        <w:spacing w:line="480" w:lineRule="auto"/>
        <w:ind w:firstLine="720"/>
        <w:rPr>
          <w:rFonts w:cs="Times New Roman"/>
          <w:szCs w:val="24"/>
        </w:rPr>
      </w:pPr>
      <w:r w:rsidRPr="00F22F23">
        <w:rPr>
          <w:rFonts w:cs="Times New Roman"/>
          <w:szCs w:val="24"/>
        </w:rPr>
        <w:t xml:space="preserve">Analyzing the company's strategy gives a comprehensive overview of how the company manages its diverse brands in the prevailing market and still maintain the market leader in terms of profits and sustainability. The company adopts a broad differentiation strategy that focuses on the superior quality of beverages where the products are unique and different from the existing brands (Grgić, 2020). A good Packaging scheme ensures easy distribution, and at the same time, consumers are satisfied with the right quantities on their options.  High branding image, although not tangible but appeals to capture a significant part of the market. The right choice of systems to best suit their expansion plan. For example, the company's bottlers' network facilitates increased production and broad distributions of products to customers—moreover, taste and preference strategy to consider the evolving consumer preference. For example, they are producing the zero coke soda accessible to customers with diabetics. The company possesses strong marketing capabilities such as media advertisements and assertive global outreach by partnering with other institutions to support youth ambitions in sports, and much more. </w:t>
      </w:r>
    </w:p>
    <w:p w:rsidR="00C4447D" w:rsidRPr="00F22F23" w:rsidRDefault="00DA5F9B" w:rsidP="00F22F23">
      <w:pPr>
        <w:spacing w:line="480" w:lineRule="auto"/>
        <w:ind w:firstLine="720"/>
        <w:rPr>
          <w:rFonts w:cs="Times New Roman"/>
          <w:szCs w:val="24"/>
        </w:rPr>
      </w:pPr>
      <w:r w:rsidRPr="00F22F23">
        <w:rPr>
          <w:rFonts w:cs="Times New Roman"/>
          <w:szCs w:val="24"/>
        </w:rPr>
        <w:t>The company corporate level focuses on diversification to create a new customer base. For instance, in 2019, the company acquired costa coffee with the primary aim to introduce them to a new customer base and to increase their knowledge of the coffee supply chain. Also, the company aims at increasing shareowner values and sales over time. The idea is enhanced through a partnership with business partners to deliver satisfaction and value to customers using a worldwide system of superior brands and services to increase brand equity and acceptance globally. They do this with firmly committed people to the company's values and culture and create an appropriately controlled environment to meet business goals and objectives. Besides, the associate jointly takes responsibility to ensure compliance with the framework policy while protecting its assets and resources.</w:t>
      </w:r>
    </w:p>
    <w:p w:rsidR="00C4447D" w:rsidRPr="00F22F23" w:rsidRDefault="00DA5F9B" w:rsidP="00F22F23">
      <w:pPr>
        <w:spacing w:line="480" w:lineRule="auto"/>
        <w:ind w:firstLine="720"/>
        <w:rPr>
          <w:rFonts w:cs="Times New Roman"/>
          <w:szCs w:val="24"/>
        </w:rPr>
      </w:pPr>
      <w:r w:rsidRPr="00F22F23">
        <w:rPr>
          <w:rFonts w:cs="Times New Roman"/>
          <w:szCs w:val="24"/>
        </w:rPr>
        <w:t>Adopting corporate social responsibility strategies ensures sustainable communities. The concept has enabled the company to be listed with Dow Jones sustainability index, Carbon disclosure project (CDP), and Financial time stock exchange (FTSE4). Also, the company participates in actions to protect and sustain the environment. For instance, partnering with the world wildlife fund to protect freshwater lakes and replenish water used in the operations (Brownlee et al., (2017). The company participates in actions to enable community services such as enhance education and woman empowerment. Last but not least, actions to enhance employee well -being through gym facilities, health trackers to encourage sports and social facilities such as video gaming, and more</w:t>
      </w:r>
    </w:p>
    <w:p w:rsidR="00C4447D" w:rsidRPr="00F22F23" w:rsidRDefault="00C4447D" w:rsidP="00F22F23">
      <w:pPr>
        <w:spacing w:line="480" w:lineRule="auto"/>
        <w:rPr>
          <w:rFonts w:cs="Times New Roman"/>
          <w:b/>
          <w:szCs w:val="24"/>
        </w:rPr>
      </w:pPr>
    </w:p>
    <w:p w:rsidR="00C4447D" w:rsidRPr="00F22F23" w:rsidRDefault="00C4447D" w:rsidP="00F22F23">
      <w:pPr>
        <w:spacing w:line="480" w:lineRule="auto"/>
        <w:rPr>
          <w:rFonts w:cs="Times New Roman"/>
          <w:b/>
          <w:szCs w:val="24"/>
        </w:rPr>
      </w:pPr>
    </w:p>
    <w:p w:rsidR="00C4447D" w:rsidRPr="00F22F23" w:rsidRDefault="00C4447D" w:rsidP="00F22F23">
      <w:pPr>
        <w:spacing w:line="480" w:lineRule="auto"/>
        <w:rPr>
          <w:rFonts w:cs="Times New Roman"/>
          <w:b/>
          <w:szCs w:val="24"/>
        </w:rPr>
      </w:pPr>
    </w:p>
    <w:p w:rsidR="00C4447D" w:rsidRPr="00F22F23" w:rsidRDefault="00DA5F9B" w:rsidP="00F22F23">
      <w:pPr>
        <w:spacing w:line="480" w:lineRule="auto"/>
        <w:rPr>
          <w:rFonts w:cs="Times New Roman"/>
          <w:b/>
          <w:szCs w:val="24"/>
        </w:rPr>
      </w:pPr>
      <w:r w:rsidRPr="00F22F23">
        <w:rPr>
          <w:rFonts w:cs="Times New Roman"/>
          <w:b/>
          <w:szCs w:val="24"/>
        </w:rPr>
        <w:t>Coca-Cola Analysis Based On Accounting Structure</w:t>
      </w:r>
    </w:p>
    <w:p w:rsidR="003D2326" w:rsidRDefault="00F22F23" w:rsidP="00F22F23">
      <w:pPr>
        <w:spacing w:line="480" w:lineRule="auto"/>
        <w:ind w:firstLine="720"/>
        <w:rPr>
          <w:rFonts w:cs="Times New Roman"/>
          <w:szCs w:val="24"/>
        </w:rPr>
      </w:pPr>
      <w:r>
        <w:rPr>
          <w:rFonts w:cs="Times New Roman"/>
          <w:szCs w:val="24"/>
        </w:rPr>
        <w:t>According to Li, 2019,</w:t>
      </w:r>
      <w:r w:rsidR="00DA5F9B" w:rsidRPr="00F22F23">
        <w:rPr>
          <w:rFonts w:cs="Times New Roman"/>
          <w:szCs w:val="24"/>
        </w:rPr>
        <w:t xml:space="preserve"> </w:t>
      </w:r>
      <w:r w:rsidRPr="00F22F23">
        <w:rPr>
          <w:rFonts w:cs="Times New Roman"/>
          <w:szCs w:val="24"/>
        </w:rPr>
        <w:t>accounting</w:t>
      </w:r>
      <w:r w:rsidR="00DA5F9B" w:rsidRPr="00F22F23">
        <w:rPr>
          <w:rFonts w:cs="Times New Roman"/>
          <w:szCs w:val="24"/>
        </w:rPr>
        <w:t xml:space="preserve"> analysis checks and reviews financial statements' quality to ensure relevant accounting standards are used. For instance, balance sheets should reflect the actual fair value of the company's economic position. When evaluating income statements, the main point is to properly assess the quality of earning as a complete representation of its economic performance. Evaluating the statement of cash flows brings understanding to the impact of the firm's liquidity position from its operations. Evaluation of statement of changes in equity is a fair representation of the owner's wealth as per the period. Moreover, the account analysis incorporates the industry's economic characteristics here; the five porter's model is used to show the distinction of the company and its rivalries and the strategies the firm uses to differentiate itself from its competitors. </w:t>
      </w:r>
    </w:p>
    <w:p w:rsidR="00C4447D" w:rsidRPr="00F22F23" w:rsidRDefault="00DA5F9B" w:rsidP="00F22F23">
      <w:pPr>
        <w:spacing w:line="480" w:lineRule="auto"/>
        <w:ind w:firstLine="720"/>
        <w:rPr>
          <w:rFonts w:cs="Times New Roman"/>
          <w:szCs w:val="24"/>
        </w:rPr>
      </w:pPr>
      <w:r w:rsidRPr="00F22F23">
        <w:rPr>
          <w:rFonts w:cs="Times New Roman"/>
          <w:szCs w:val="24"/>
        </w:rPr>
        <w:t>Accounting analysis further helps to analyze current risks and returns. When focusing on the risk factors of Coca-Cola Company, the method elucidates some significant concerns such as obesity, which reduces the demand for carbonated drinks—evolving consumer preference regarding changing lifestyles and nutrition consideration, e.g., sugary. Also, currency fluctuations resulting from the commodity price difference as the price increases as individuals seek to obtain the product's value (Grgić, 2020). Returns are benefits accruing to the company. For example, better employee compensation plans increase employee performance hence considerable returns to the company, increased sales, and production efficiency.</w:t>
      </w:r>
    </w:p>
    <w:p w:rsidR="00D82590" w:rsidRDefault="00D82590" w:rsidP="00F22F23">
      <w:pPr>
        <w:spacing w:line="480" w:lineRule="auto"/>
        <w:rPr>
          <w:rFonts w:cs="Times New Roman"/>
          <w:b/>
          <w:szCs w:val="24"/>
        </w:rPr>
      </w:pPr>
    </w:p>
    <w:p w:rsidR="00D82590" w:rsidRDefault="00D82590" w:rsidP="00F22F23">
      <w:pPr>
        <w:spacing w:line="480" w:lineRule="auto"/>
        <w:rPr>
          <w:rFonts w:cs="Times New Roman"/>
          <w:b/>
          <w:szCs w:val="24"/>
        </w:rPr>
      </w:pPr>
    </w:p>
    <w:p w:rsidR="00D82590" w:rsidRDefault="00D82590" w:rsidP="00F22F23">
      <w:pPr>
        <w:spacing w:line="480" w:lineRule="auto"/>
        <w:rPr>
          <w:rFonts w:cs="Times New Roman"/>
          <w:b/>
          <w:szCs w:val="24"/>
        </w:rPr>
      </w:pPr>
    </w:p>
    <w:p w:rsidR="00C4447D" w:rsidRPr="00F22F23" w:rsidRDefault="00D901C2" w:rsidP="00F22F23">
      <w:pPr>
        <w:spacing w:line="480" w:lineRule="auto"/>
        <w:rPr>
          <w:rFonts w:cs="Times New Roman"/>
          <w:b/>
          <w:szCs w:val="24"/>
        </w:rPr>
      </w:pPr>
      <w:r>
        <w:rPr>
          <w:rFonts w:cs="Times New Roman"/>
          <w:b/>
          <w:szCs w:val="24"/>
        </w:rPr>
        <w:t>Coca-Cola Financial A</w:t>
      </w:r>
      <w:r w:rsidR="00DA5F9B" w:rsidRPr="00F22F23">
        <w:rPr>
          <w:rFonts w:cs="Times New Roman"/>
          <w:b/>
          <w:szCs w:val="24"/>
        </w:rPr>
        <w:t xml:space="preserve">nalysis </w:t>
      </w:r>
    </w:p>
    <w:p w:rsidR="00C4447D" w:rsidRPr="00F22F23" w:rsidRDefault="00DA5F9B" w:rsidP="00F22F23">
      <w:pPr>
        <w:spacing w:line="480" w:lineRule="auto"/>
        <w:rPr>
          <w:rFonts w:cs="Times New Roman"/>
          <w:szCs w:val="24"/>
        </w:rPr>
      </w:pPr>
      <w:r w:rsidRPr="00F22F23">
        <w:rPr>
          <w:rFonts w:cs="Times New Roman"/>
          <w:szCs w:val="24"/>
        </w:rPr>
        <w:t xml:space="preserve">Coca-cola financial statements for the last three years </w:t>
      </w:r>
    </w:p>
    <w:tbl>
      <w:tblPr>
        <w:tblStyle w:val="TableGrid"/>
        <w:tblW w:w="0" w:type="auto"/>
        <w:tblLook w:val="04A0" w:firstRow="1" w:lastRow="0" w:firstColumn="1" w:lastColumn="0" w:noHBand="0" w:noVBand="1"/>
      </w:tblPr>
      <w:tblGrid>
        <w:gridCol w:w="2337"/>
        <w:gridCol w:w="2337"/>
        <w:gridCol w:w="2338"/>
        <w:gridCol w:w="2338"/>
      </w:tblGrid>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Item/year</w:t>
            </w:r>
          </w:p>
        </w:tc>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2019</w:t>
            </w:r>
          </w:p>
        </w:tc>
        <w:tc>
          <w:tcPr>
            <w:tcW w:w="2338" w:type="dxa"/>
          </w:tcPr>
          <w:p w:rsidR="00C4447D" w:rsidRPr="00F22F23" w:rsidRDefault="00DA5F9B" w:rsidP="00F22F23">
            <w:pPr>
              <w:spacing w:line="480" w:lineRule="auto"/>
              <w:rPr>
                <w:rFonts w:cs="Times New Roman"/>
                <w:b/>
                <w:szCs w:val="24"/>
              </w:rPr>
            </w:pPr>
            <w:r w:rsidRPr="00F22F23">
              <w:rPr>
                <w:rFonts w:cs="Times New Roman"/>
                <w:b/>
                <w:szCs w:val="24"/>
              </w:rPr>
              <w:t>2018</w:t>
            </w:r>
          </w:p>
        </w:tc>
        <w:tc>
          <w:tcPr>
            <w:tcW w:w="2338" w:type="dxa"/>
          </w:tcPr>
          <w:p w:rsidR="00C4447D" w:rsidRPr="00F22F23" w:rsidRDefault="00DA5F9B" w:rsidP="00F22F23">
            <w:pPr>
              <w:spacing w:line="480" w:lineRule="auto"/>
              <w:rPr>
                <w:rFonts w:cs="Times New Roman"/>
                <w:b/>
                <w:szCs w:val="24"/>
              </w:rPr>
            </w:pPr>
            <w:r w:rsidRPr="00F22F23">
              <w:rPr>
                <w:rFonts w:cs="Times New Roman"/>
                <w:b/>
                <w:szCs w:val="24"/>
              </w:rPr>
              <w:t>2017</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Current assets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20, 411,000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30,634,000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36,545,000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Current liabilities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26,973,000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29,233000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27,194,000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inventories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3,379,000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2,766,000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2655,000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cash</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11,175,000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15,964,000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20,675,000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receivables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3,971,000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3,396000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3,667,000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Total assets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86,381,000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83,216,000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87,896,000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Total liabilities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65,283,000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64,158,000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68,919,000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Total equity</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18,981,000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16,981,000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17,072,000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sales</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37,266,000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31,856,000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35,410,000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Cost of goods sold</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14,619,000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11,770,000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13,256,000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EBIT</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10,533,000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9781000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9427,000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interest</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946,000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919000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841,000</w:t>
            </w:r>
          </w:p>
        </w:tc>
      </w:tr>
      <w:tr w:rsidR="00C4447D" w:rsidRPr="00F22F23">
        <w:tc>
          <w:tcPr>
            <w:tcW w:w="2337" w:type="dxa"/>
          </w:tcPr>
          <w:p w:rsidR="00C4447D" w:rsidRPr="00F22F23" w:rsidRDefault="00DA5F9B" w:rsidP="00F22F23">
            <w:pPr>
              <w:spacing w:line="480" w:lineRule="auto"/>
              <w:rPr>
                <w:rFonts w:cs="Times New Roman"/>
                <w:b/>
                <w:szCs w:val="24"/>
              </w:rPr>
            </w:pPr>
            <w:r w:rsidRPr="00F22F23">
              <w:rPr>
                <w:rFonts w:cs="Times New Roman"/>
                <w:b/>
                <w:szCs w:val="24"/>
              </w:rPr>
              <w:t>Net income</w:t>
            </w:r>
          </w:p>
        </w:tc>
        <w:tc>
          <w:tcPr>
            <w:tcW w:w="2337" w:type="dxa"/>
          </w:tcPr>
          <w:p w:rsidR="00C4447D" w:rsidRPr="00F22F23" w:rsidRDefault="00DA5F9B" w:rsidP="00F22F23">
            <w:pPr>
              <w:spacing w:line="480" w:lineRule="auto"/>
              <w:rPr>
                <w:rFonts w:cs="Times New Roman"/>
                <w:szCs w:val="24"/>
              </w:rPr>
            </w:pPr>
            <w:r w:rsidRPr="00F22F23">
              <w:rPr>
                <w:rFonts w:cs="Times New Roman"/>
                <w:szCs w:val="24"/>
              </w:rPr>
              <w:t>8,920,000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6434000</w:t>
            </w:r>
          </w:p>
        </w:tc>
        <w:tc>
          <w:tcPr>
            <w:tcW w:w="2338" w:type="dxa"/>
          </w:tcPr>
          <w:p w:rsidR="00C4447D" w:rsidRPr="00F22F23" w:rsidRDefault="00DA5F9B" w:rsidP="00F22F23">
            <w:pPr>
              <w:spacing w:line="480" w:lineRule="auto"/>
              <w:rPr>
                <w:rFonts w:cs="Times New Roman"/>
                <w:szCs w:val="24"/>
              </w:rPr>
            </w:pPr>
            <w:r w:rsidRPr="00F22F23">
              <w:rPr>
                <w:rFonts w:cs="Times New Roman"/>
                <w:szCs w:val="24"/>
              </w:rPr>
              <w:t>1248,000</w:t>
            </w:r>
          </w:p>
        </w:tc>
      </w:tr>
    </w:tbl>
    <w:p w:rsidR="00C4447D" w:rsidRPr="00F22F23" w:rsidRDefault="00DA5F9B" w:rsidP="00F22F23">
      <w:pPr>
        <w:spacing w:line="480" w:lineRule="auto"/>
        <w:rPr>
          <w:rFonts w:cs="Times New Roman"/>
          <w:szCs w:val="24"/>
        </w:rPr>
      </w:pPr>
      <w:r w:rsidRPr="00F22F23">
        <w:rPr>
          <w:rFonts w:cs="Times New Roman"/>
          <w:szCs w:val="24"/>
        </w:rPr>
        <w:t xml:space="preserve"> </w:t>
      </w:r>
    </w:p>
    <w:p w:rsidR="00C4447D" w:rsidRPr="00F22F23" w:rsidRDefault="00DA5F9B" w:rsidP="00F22F23">
      <w:pPr>
        <w:spacing w:line="480" w:lineRule="auto"/>
        <w:rPr>
          <w:rFonts w:cs="Times New Roman"/>
          <w:szCs w:val="24"/>
        </w:rPr>
      </w:pPr>
      <w:r w:rsidRPr="00F22F23">
        <w:rPr>
          <w:rFonts w:cs="Times New Roman"/>
          <w:szCs w:val="24"/>
        </w:rPr>
        <w:t>Liquidity Ratios of Coca-Cola Company</w:t>
      </w:r>
    </w:p>
    <w:p w:rsidR="00C4447D" w:rsidRPr="00F22F23" w:rsidRDefault="00DA5F9B" w:rsidP="00F22F23">
      <w:pPr>
        <w:pStyle w:val="ListParagraph"/>
        <w:numPr>
          <w:ilvl w:val="0"/>
          <w:numId w:val="1"/>
        </w:numPr>
        <w:spacing w:line="480" w:lineRule="auto"/>
        <w:rPr>
          <w:rFonts w:cs="Times New Roman"/>
          <w:szCs w:val="24"/>
        </w:rPr>
      </w:pPr>
      <w:r w:rsidRPr="00F22F23">
        <w:rPr>
          <w:rFonts w:cs="Times New Roman"/>
          <w:szCs w:val="24"/>
        </w:rPr>
        <w:t>In the year 2017, the Current ratio is calculated using.</w:t>
      </w:r>
    </w:p>
    <w:p w:rsidR="00C4447D" w:rsidRPr="00F22F23" w:rsidRDefault="00DA5F9B" w:rsidP="00F22F23">
      <w:pPr>
        <w:spacing w:line="480" w:lineRule="auto"/>
        <w:rPr>
          <w:rFonts w:cs="Times New Roman"/>
          <w:szCs w:val="24"/>
        </w:rPr>
      </w:pPr>
      <w:r w:rsidRPr="00F22F23">
        <w:rPr>
          <w:rFonts w:cs="Times New Roman"/>
          <w:szCs w:val="24"/>
        </w:rPr>
        <w:t>Current asset/current liabilities = 36,545,000/27,194,000 = 1.34</w:t>
      </w:r>
    </w:p>
    <w:p w:rsidR="00C4447D" w:rsidRPr="00F22F23" w:rsidRDefault="00DA5F9B" w:rsidP="00F22F23">
      <w:pPr>
        <w:pStyle w:val="ListParagraph"/>
        <w:spacing w:line="480" w:lineRule="auto"/>
        <w:rPr>
          <w:rFonts w:cs="Times New Roman"/>
          <w:szCs w:val="24"/>
        </w:rPr>
      </w:pPr>
      <w:r w:rsidRPr="00F22F23">
        <w:rPr>
          <w:rFonts w:cs="Times New Roman"/>
          <w:szCs w:val="24"/>
        </w:rPr>
        <w:t xml:space="preserve">Quick acid test </w:t>
      </w:r>
    </w:p>
    <w:p w:rsidR="00C4447D" w:rsidRPr="00F22F23" w:rsidRDefault="00DA5F9B" w:rsidP="00F22F23">
      <w:pPr>
        <w:spacing w:line="480" w:lineRule="auto"/>
        <w:rPr>
          <w:rFonts w:cs="Times New Roman"/>
          <w:szCs w:val="24"/>
        </w:rPr>
      </w:pPr>
      <w:r w:rsidRPr="00F22F23">
        <w:rPr>
          <w:rFonts w:cs="Times New Roman"/>
          <w:szCs w:val="24"/>
        </w:rPr>
        <w:t>Current asset - inventory/current liabilities = 36,545,000-2655000/27194000=1.25</w:t>
      </w:r>
    </w:p>
    <w:p w:rsidR="00C4447D" w:rsidRPr="00F22F23" w:rsidRDefault="00DA5F9B" w:rsidP="00F22F23">
      <w:pPr>
        <w:pStyle w:val="ListParagraph"/>
        <w:numPr>
          <w:ilvl w:val="0"/>
          <w:numId w:val="1"/>
        </w:numPr>
        <w:spacing w:line="480" w:lineRule="auto"/>
        <w:rPr>
          <w:rFonts w:cs="Times New Roman"/>
          <w:szCs w:val="24"/>
        </w:rPr>
      </w:pPr>
      <w:r w:rsidRPr="00F22F23">
        <w:rPr>
          <w:rFonts w:cs="Times New Roman"/>
          <w:szCs w:val="24"/>
        </w:rPr>
        <w:t>Year 2018</w:t>
      </w:r>
    </w:p>
    <w:p w:rsidR="00C4447D" w:rsidRPr="00F22F23" w:rsidRDefault="00DA5F9B" w:rsidP="00F22F23">
      <w:pPr>
        <w:spacing w:line="480" w:lineRule="auto"/>
        <w:rPr>
          <w:rFonts w:cs="Times New Roman"/>
          <w:szCs w:val="24"/>
        </w:rPr>
      </w:pPr>
      <w:r w:rsidRPr="00F22F23">
        <w:rPr>
          <w:rFonts w:cs="Times New Roman"/>
          <w:szCs w:val="24"/>
        </w:rPr>
        <w:t>Current ratio = current assets /current liabilities =30,634.000/29,233,000 = 1.05</w:t>
      </w:r>
    </w:p>
    <w:p w:rsidR="00C4447D" w:rsidRPr="00F22F23" w:rsidRDefault="00DA5F9B" w:rsidP="00F22F23">
      <w:pPr>
        <w:spacing w:line="480" w:lineRule="auto"/>
        <w:rPr>
          <w:rFonts w:cs="Times New Roman"/>
          <w:szCs w:val="24"/>
        </w:rPr>
      </w:pPr>
      <w:r w:rsidRPr="00F22F23">
        <w:rPr>
          <w:rFonts w:cs="Times New Roman"/>
          <w:szCs w:val="24"/>
        </w:rPr>
        <w:t xml:space="preserve">Quick acid test </w:t>
      </w:r>
    </w:p>
    <w:p w:rsidR="00C4447D" w:rsidRPr="00F22F23" w:rsidRDefault="00DA5F9B" w:rsidP="00F22F23">
      <w:pPr>
        <w:spacing w:line="480" w:lineRule="auto"/>
        <w:rPr>
          <w:rFonts w:cs="Times New Roman"/>
          <w:szCs w:val="24"/>
        </w:rPr>
      </w:pPr>
      <w:r w:rsidRPr="00F22F23">
        <w:rPr>
          <w:rFonts w:cs="Times New Roman"/>
          <w:szCs w:val="24"/>
        </w:rPr>
        <w:t>Current asset - inventory/current liabilities= 30634000-2766000/29233000 =0.95</w:t>
      </w:r>
    </w:p>
    <w:p w:rsidR="00C4447D" w:rsidRPr="00F22F23" w:rsidRDefault="00DA5F9B" w:rsidP="00F22F23">
      <w:pPr>
        <w:pStyle w:val="ListParagraph"/>
        <w:numPr>
          <w:ilvl w:val="0"/>
          <w:numId w:val="1"/>
        </w:numPr>
        <w:spacing w:line="480" w:lineRule="auto"/>
        <w:rPr>
          <w:rFonts w:cs="Times New Roman"/>
          <w:szCs w:val="24"/>
        </w:rPr>
      </w:pPr>
      <w:r w:rsidRPr="00F22F23">
        <w:rPr>
          <w:rFonts w:cs="Times New Roman"/>
          <w:szCs w:val="24"/>
        </w:rPr>
        <w:t>The year 2019</w:t>
      </w:r>
    </w:p>
    <w:p w:rsidR="00C4447D" w:rsidRPr="00F22F23" w:rsidRDefault="00DA5F9B" w:rsidP="00F22F23">
      <w:pPr>
        <w:spacing w:line="480" w:lineRule="auto"/>
        <w:rPr>
          <w:rFonts w:cs="Times New Roman"/>
          <w:szCs w:val="24"/>
        </w:rPr>
      </w:pPr>
      <w:r w:rsidRPr="00F22F23">
        <w:rPr>
          <w:rFonts w:cs="Times New Roman"/>
          <w:szCs w:val="24"/>
        </w:rPr>
        <w:t xml:space="preserve">Current ratio </w:t>
      </w:r>
    </w:p>
    <w:p w:rsidR="00C4447D" w:rsidRPr="00F22F23" w:rsidRDefault="00DA5F9B" w:rsidP="00F22F23">
      <w:pPr>
        <w:spacing w:line="480" w:lineRule="auto"/>
        <w:rPr>
          <w:rFonts w:cs="Times New Roman"/>
          <w:szCs w:val="24"/>
        </w:rPr>
      </w:pPr>
      <w:r w:rsidRPr="00F22F23">
        <w:rPr>
          <w:rFonts w:cs="Times New Roman"/>
          <w:szCs w:val="24"/>
        </w:rPr>
        <w:t>Current asset/current liabilities = 20411000/26973000 = 0.76</w:t>
      </w:r>
    </w:p>
    <w:p w:rsidR="00C4447D" w:rsidRPr="00F22F23" w:rsidRDefault="00DA5F9B" w:rsidP="00F22F23">
      <w:pPr>
        <w:spacing w:line="480" w:lineRule="auto"/>
        <w:rPr>
          <w:rFonts w:cs="Times New Roman"/>
          <w:szCs w:val="24"/>
        </w:rPr>
      </w:pPr>
      <w:r w:rsidRPr="00F22F23">
        <w:rPr>
          <w:rFonts w:cs="Times New Roman"/>
          <w:szCs w:val="24"/>
        </w:rPr>
        <w:t>Quick acid test</w:t>
      </w:r>
    </w:p>
    <w:p w:rsidR="00C4447D" w:rsidRPr="00F22F23" w:rsidRDefault="00DA5F9B" w:rsidP="00F22F23">
      <w:pPr>
        <w:spacing w:line="480" w:lineRule="auto"/>
        <w:rPr>
          <w:rFonts w:cs="Times New Roman"/>
          <w:szCs w:val="24"/>
        </w:rPr>
      </w:pPr>
      <w:r w:rsidRPr="00F22F23">
        <w:rPr>
          <w:rFonts w:cs="Times New Roman"/>
          <w:szCs w:val="24"/>
        </w:rPr>
        <w:t>Current asset - inventory/current liabilities= 20411000-3379000/26973000 = 0.63</w:t>
      </w:r>
    </w:p>
    <w:p w:rsidR="00C4447D" w:rsidRPr="00F22F23" w:rsidRDefault="00DA5F9B" w:rsidP="00F22F23">
      <w:pPr>
        <w:spacing w:line="480" w:lineRule="auto"/>
        <w:jc w:val="center"/>
        <w:rPr>
          <w:rFonts w:cs="Times New Roman"/>
          <w:szCs w:val="24"/>
        </w:rPr>
      </w:pPr>
      <w:r w:rsidRPr="00F22F23">
        <w:rPr>
          <w:rFonts w:cs="Times New Roman"/>
          <w:szCs w:val="24"/>
        </w:rPr>
        <w:t>Table 1: Liquidity Ratios of Coca Cola Company</w:t>
      </w:r>
    </w:p>
    <w:tbl>
      <w:tblPr>
        <w:tblW w:w="0" w:type="auto"/>
        <w:tblLook w:val="04A0" w:firstRow="1" w:lastRow="0" w:firstColumn="1" w:lastColumn="0" w:noHBand="0" w:noVBand="1"/>
      </w:tblPr>
      <w:tblGrid>
        <w:gridCol w:w="1830"/>
        <w:gridCol w:w="1795"/>
        <w:gridCol w:w="1795"/>
        <w:gridCol w:w="1795"/>
      </w:tblGrid>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bookmarkStart w:id="1" w:name="OLE_LINK1"/>
            <w:r w:rsidRPr="00F22F23">
              <w:rPr>
                <w:rFonts w:cs="Times New Roman"/>
                <w:szCs w:val="24"/>
              </w:rPr>
              <w:t>Ratio/Year</w:t>
            </w:r>
          </w:p>
        </w:tc>
        <w:tc>
          <w:tcPr>
            <w:tcW w:w="179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2019</w:t>
            </w:r>
          </w:p>
        </w:tc>
        <w:tc>
          <w:tcPr>
            <w:tcW w:w="179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2018</w:t>
            </w:r>
          </w:p>
        </w:tc>
        <w:tc>
          <w:tcPr>
            <w:tcW w:w="179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2017</w:t>
            </w:r>
          </w:p>
        </w:tc>
      </w:tr>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Current Ratio</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0.76</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1.05</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1.34</w:t>
            </w:r>
          </w:p>
        </w:tc>
      </w:tr>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Quick Ratio</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0.63</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0.95</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1.25</w:t>
            </w:r>
          </w:p>
        </w:tc>
      </w:tr>
    </w:tbl>
    <w:bookmarkEnd w:id="1"/>
    <w:p w:rsidR="00C4447D" w:rsidRPr="00F22F23" w:rsidRDefault="00DA5F9B" w:rsidP="00D901C2">
      <w:pPr>
        <w:spacing w:line="480" w:lineRule="auto"/>
        <w:ind w:firstLine="720"/>
        <w:rPr>
          <w:rFonts w:cs="Times New Roman"/>
          <w:szCs w:val="24"/>
        </w:rPr>
      </w:pPr>
      <w:r w:rsidRPr="00F22F23">
        <w:rPr>
          <w:rFonts w:cs="Times New Roman"/>
          <w:szCs w:val="24"/>
        </w:rPr>
        <w:t>The current Coca-Cola company ratio decreased steadily from 1.34 in 2017 to 1.05 in 2018 and 0.76 in 2019. The current ratio above 1 shows the business ability to cover short term liabilities. However, this does not show that in 2019, the current ratio decreases to 0.76 due to a decrease in the current ratio; also, it shows that Coca Cola is faced with liquidity issues.  The quick acid test shows the ability to use a firm’s current assets to pay short debts. The ratio shows a decrease from 1.25 in 2017 to 0.63 in 2019.</w:t>
      </w:r>
    </w:p>
    <w:p w:rsidR="00C4447D" w:rsidRPr="00F22F23" w:rsidRDefault="00DA5F9B" w:rsidP="00F22F23">
      <w:pPr>
        <w:spacing w:line="480" w:lineRule="auto"/>
        <w:rPr>
          <w:rFonts w:cs="Times New Roman"/>
          <w:szCs w:val="24"/>
        </w:rPr>
      </w:pPr>
      <w:r w:rsidRPr="00F22F23">
        <w:rPr>
          <w:rFonts w:cs="Times New Roman"/>
          <w:szCs w:val="24"/>
        </w:rPr>
        <w:t>Profitability Ratio of Coca-Cola Company</w:t>
      </w:r>
    </w:p>
    <w:p w:rsidR="00C4447D" w:rsidRPr="00F22F23" w:rsidRDefault="00DA5F9B" w:rsidP="00F22F23">
      <w:pPr>
        <w:spacing w:line="480" w:lineRule="auto"/>
        <w:rPr>
          <w:rFonts w:cs="Times New Roman"/>
          <w:szCs w:val="24"/>
        </w:rPr>
      </w:pPr>
      <w:r w:rsidRPr="00F22F23">
        <w:rPr>
          <w:rFonts w:cs="Times New Roman"/>
          <w:szCs w:val="24"/>
        </w:rPr>
        <w:t>Table 2: Profitability Ratios of Coca Cola Company</w:t>
      </w:r>
    </w:p>
    <w:tbl>
      <w:tblPr>
        <w:tblW w:w="0" w:type="auto"/>
        <w:tblLook w:val="04A0" w:firstRow="1" w:lastRow="0" w:firstColumn="1" w:lastColumn="0" w:noHBand="0" w:noVBand="1"/>
      </w:tblPr>
      <w:tblGrid>
        <w:gridCol w:w="1830"/>
        <w:gridCol w:w="1795"/>
        <w:gridCol w:w="1795"/>
        <w:gridCol w:w="1795"/>
      </w:tblGrid>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Ratio/Year</w:t>
            </w:r>
          </w:p>
        </w:tc>
        <w:tc>
          <w:tcPr>
            <w:tcW w:w="179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2019</w:t>
            </w:r>
          </w:p>
        </w:tc>
        <w:tc>
          <w:tcPr>
            <w:tcW w:w="179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2018</w:t>
            </w:r>
          </w:p>
        </w:tc>
        <w:tc>
          <w:tcPr>
            <w:tcW w:w="179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2017</w:t>
            </w:r>
          </w:p>
        </w:tc>
      </w:tr>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Return on Equity</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47%</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38%</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7%</w:t>
            </w:r>
          </w:p>
        </w:tc>
      </w:tr>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Return on Assets</w:t>
            </w:r>
          </w:p>
        </w:tc>
        <w:tc>
          <w:tcPr>
            <w:tcW w:w="1795" w:type="dxa"/>
            <w:tcBorders>
              <w:top w:val="single" w:sz="4" w:space="0" w:color="auto"/>
              <w:left w:val="single" w:sz="4" w:space="0" w:color="auto"/>
              <w:bottom w:val="single" w:sz="4" w:space="0" w:color="auto"/>
              <w:right w:val="single" w:sz="4" w:space="0" w:color="auto"/>
            </w:tcBorders>
            <w:vAlign w:val="bottom"/>
          </w:tcPr>
          <w:p w:rsidR="00C4447D" w:rsidRPr="00F22F23" w:rsidRDefault="00DA5F9B" w:rsidP="00F22F23">
            <w:pPr>
              <w:spacing w:line="480" w:lineRule="auto"/>
              <w:jc w:val="center"/>
              <w:rPr>
                <w:rFonts w:cs="Times New Roman"/>
                <w:szCs w:val="24"/>
              </w:rPr>
            </w:pPr>
            <w:r w:rsidRPr="00F22F23">
              <w:rPr>
                <w:rFonts w:cs="Times New Roman"/>
                <w:szCs w:val="24"/>
              </w:rPr>
              <w:t>10%</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8%</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1%</w:t>
            </w:r>
          </w:p>
        </w:tc>
      </w:tr>
      <w:tr w:rsidR="00C4447D" w:rsidRPr="00F22F23">
        <w:tc>
          <w:tcPr>
            <w:tcW w:w="1830"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Profit Margin</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24%</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20%</w:t>
            </w:r>
          </w:p>
        </w:tc>
        <w:tc>
          <w:tcPr>
            <w:tcW w:w="1795"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4%</w:t>
            </w:r>
          </w:p>
        </w:tc>
      </w:tr>
    </w:tbl>
    <w:p w:rsidR="00C4447D" w:rsidRPr="00F22F23" w:rsidRDefault="00C4447D" w:rsidP="00F22F23">
      <w:pPr>
        <w:spacing w:line="480" w:lineRule="auto"/>
        <w:rPr>
          <w:rFonts w:cs="Times New Roman"/>
          <w:szCs w:val="24"/>
        </w:rPr>
      </w:pPr>
    </w:p>
    <w:p w:rsidR="00C4447D" w:rsidRPr="00F22F23" w:rsidRDefault="00DA5F9B" w:rsidP="00D901C2">
      <w:pPr>
        <w:spacing w:line="480" w:lineRule="auto"/>
        <w:ind w:firstLine="720"/>
        <w:rPr>
          <w:rFonts w:cs="Times New Roman"/>
          <w:szCs w:val="24"/>
        </w:rPr>
      </w:pPr>
      <w:r w:rsidRPr="00F22F23">
        <w:rPr>
          <w:rFonts w:cs="Times New Roman"/>
          <w:szCs w:val="24"/>
        </w:rPr>
        <w:t>Return on equity measures the profit made on an investor's contributions. 2017 the return on equity is 7% showing the low net income, then it increases to 38% and 47% respectively in the year 2018 and 2019 showing a good return on investors investments. Return on assets shows how much profit the company makes using its assets. The return on assets of 2017 fell drastically due to low net income and later increased from 8% to 10%, respectively, in the year 2018 and 2019.</w:t>
      </w:r>
    </w:p>
    <w:p w:rsidR="00C4447D" w:rsidRPr="00F22F23" w:rsidRDefault="00DA5F9B" w:rsidP="00F22F23">
      <w:pPr>
        <w:spacing w:line="480" w:lineRule="auto"/>
        <w:rPr>
          <w:rFonts w:cs="Times New Roman"/>
          <w:szCs w:val="24"/>
        </w:rPr>
      </w:pPr>
      <w:r w:rsidRPr="00F22F23">
        <w:rPr>
          <w:rFonts w:cs="Times New Roman"/>
          <w:szCs w:val="24"/>
        </w:rPr>
        <w:t xml:space="preserve">Activity Ratio of Coca-Cola Company </w:t>
      </w:r>
    </w:p>
    <w:p w:rsidR="00C4447D" w:rsidRPr="00F22F23" w:rsidRDefault="00DA5F9B" w:rsidP="00F22F23">
      <w:pPr>
        <w:pStyle w:val="ListParagraph"/>
        <w:numPr>
          <w:ilvl w:val="0"/>
          <w:numId w:val="2"/>
        </w:numPr>
        <w:spacing w:line="480" w:lineRule="auto"/>
        <w:rPr>
          <w:rFonts w:cs="Times New Roman"/>
          <w:szCs w:val="24"/>
        </w:rPr>
      </w:pPr>
      <w:r w:rsidRPr="00F22F23">
        <w:rPr>
          <w:rFonts w:cs="Times New Roman"/>
          <w:szCs w:val="24"/>
        </w:rPr>
        <w:t xml:space="preserve">The year 2017 inventory turnover is calculated as the cost of sales /average stock </w:t>
      </w:r>
    </w:p>
    <w:p w:rsidR="00C4447D" w:rsidRPr="00F22F23" w:rsidRDefault="00DA5F9B" w:rsidP="00F22F23">
      <w:pPr>
        <w:spacing w:line="480" w:lineRule="auto"/>
        <w:rPr>
          <w:rFonts w:cs="Times New Roman"/>
          <w:szCs w:val="24"/>
        </w:rPr>
      </w:pPr>
      <w:r w:rsidRPr="00F22F23">
        <w:rPr>
          <w:rFonts w:cs="Times New Roman"/>
          <w:szCs w:val="24"/>
        </w:rPr>
        <w:t>13,256,000/2655000= 4.99</w:t>
      </w:r>
    </w:p>
    <w:p w:rsidR="00C4447D" w:rsidRPr="00F22F23" w:rsidRDefault="00DA5F9B" w:rsidP="00F22F23">
      <w:pPr>
        <w:spacing w:line="480" w:lineRule="auto"/>
        <w:rPr>
          <w:rFonts w:cs="Times New Roman"/>
          <w:szCs w:val="24"/>
        </w:rPr>
      </w:pPr>
      <w:r w:rsidRPr="00F22F23">
        <w:rPr>
          <w:rFonts w:cs="Times New Roman"/>
          <w:szCs w:val="24"/>
        </w:rPr>
        <w:t>2018</w:t>
      </w:r>
    </w:p>
    <w:p w:rsidR="00C4447D" w:rsidRPr="00F22F23" w:rsidRDefault="00DA5F9B" w:rsidP="00F22F23">
      <w:pPr>
        <w:spacing w:line="480" w:lineRule="auto"/>
        <w:rPr>
          <w:rFonts w:cs="Times New Roman"/>
          <w:szCs w:val="24"/>
        </w:rPr>
      </w:pPr>
      <w:r w:rsidRPr="00F22F23">
        <w:rPr>
          <w:rFonts w:cs="Times New Roman"/>
          <w:szCs w:val="24"/>
        </w:rPr>
        <w:t>11770000/2766000=4.26</w:t>
      </w:r>
    </w:p>
    <w:p w:rsidR="00C4447D" w:rsidRPr="00F22F23" w:rsidRDefault="00DA5F9B" w:rsidP="00F22F23">
      <w:pPr>
        <w:spacing w:line="480" w:lineRule="auto"/>
        <w:rPr>
          <w:rFonts w:cs="Times New Roman"/>
          <w:szCs w:val="24"/>
        </w:rPr>
      </w:pPr>
      <w:r w:rsidRPr="00F22F23">
        <w:rPr>
          <w:rFonts w:cs="Times New Roman"/>
          <w:szCs w:val="24"/>
        </w:rPr>
        <w:t>2019</w:t>
      </w:r>
    </w:p>
    <w:p w:rsidR="00C4447D" w:rsidRPr="00F22F23" w:rsidRDefault="00DA5F9B" w:rsidP="00F22F23">
      <w:pPr>
        <w:spacing w:line="480" w:lineRule="auto"/>
        <w:rPr>
          <w:rFonts w:cs="Times New Roman"/>
          <w:szCs w:val="24"/>
        </w:rPr>
      </w:pPr>
      <w:r w:rsidRPr="00F22F23">
        <w:rPr>
          <w:rFonts w:cs="Times New Roman"/>
          <w:szCs w:val="24"/>
        </w:rPr>
        <w:t>14669000/3379000 = 4.33</w:t>
      </w:r>
    </w:p>
    <w:p w:rsidR="00C4447D" w:rsidRPr="00F22F23" w:rsidRDefault="00DA5F9B" w:rsidP="00F22F23">
      <w:pPr>
        <w:pStyle w:val="ListParagraph"/>
        <w:numPr>
          <w:ilvl w:val="0"/>
          <w:numId w:val="2"/>
        </w:numPr>
        <w:spacing w:line="480" w:lineRule="auto"/>
        <w:rPr>
          <w:rFonts w:cs="Times New Roman"/>
          <w:szCs w:val="24"/>
        </w:rPr>
      </w:pPr>
      <w:r w:rsidRPr="00F22F23">
        <w:rPr>
          <w:rFonts w:cs="Times New Roman"/>
          <w:szCs w:val="24"/>
        </w:rPr>
        <w:t>Receivable turn over calculated as debtor /sales *365</w:t>
      </w:r>
    </w:p>
    <w:p w:rsidR="00C4447D" w:rsidRPr="00F22F23" w:rsidRDefault="00C4447D" w:rsidP="00F22F23">
      <w:pPr>
        <w:spacing w:line="480" w:lineRule="auto"/>
        <w:rPr>
          <w:rFonts w:cs="Times New Roman"/>
          <w:szCs w:val="24"/>
        </w:rPr>
      </w:pPr>
    </w:p>
    <w:p w:rsidR="00C4447D" w:rsidRPr="00F22F23" w:rsidRDefault="00DA5F9B" w:rsidP="00F22F23">
      <w:pPr>
        <w:spacing w:line="480" w:lineRule="auto"/>
        <w:rPr>
          <w:rFonts w:cs="Times New Roman"/>
          <w:szCs w:val="24"/>
        </w:rPr>
      </w:pPr>
      <w:r w:rsidRPr="00F22F23">
        <w:rPr>
          <w:rFonts w:cs="Times New Roman"/>
          <w:szCs w:val="24"/>
        </w:rPr>
        <w:t xml:space="preserve">Year 2017 </w:t>
      </w:r>
    </w:p>
    <w:p w:rsidR="00C4447D" w:rsidRPr="00F22F23" w:rsidRDefault="00DA5F9B" w:rsidP="00F22F23">
      <w:pPr>
        <w:spacing w:line="480" w:lineRule="auto"/>
        <w:rPr>
          <w:rFonts w:cs="Times New Roman"/>
          <w:szCs w:val="24"/>
        </w:rPr>
      </w:pPr>
      <w:r w:rsidRPr="00F22F23">
        <w:rPr>
          <w:rFonts w:cs="Times New Roman"/>
          <w:szCs w:val="24"/>
        </w:rPr>
        <w:t>36667000/35410000*365 = 9.66</w:t>
      </w:r>
    </w:p>
    <w:p w:rsidR="00C4447D" w:rsidRPr="00F22F23" w:rsidRDefault="00DA5F9B" w:rsidP="00F22F23">
      <w:pPr>
        <w:spacing w:line="480" w:lineRule="auto"/>
        <w:rPr>
          <w:rFonts w:cs="Times New Roman"/>
          <w:szCs w:val="24"/>
        </w:rPr>
      </w:pPr>
      <w:r w:rsidRPr="00F22F23">
        <w:rPr>
          <w:rFonts w:cs="Times New Roman"/>
          <w:szCs w:val="24"/>
        </w:rPr>
        <w:t xml:space="preserve">2018 </w:t>
      </w:r>
    </w:p>
    <w:p w:rsidR="00C4447D" w:rsidRPr="00F22F23" w:rsidRDefault="00DA5F9B" w:rsidP="00F22F23">
      <w:pPr>
        <w:spacing w:line="480" w:lineRule="auto"/>
        <w:rPr>
          <w:rFonts w:cs="Times New Roman"/>
          <w:szCs w:val="24"/>
        </w:rPr>
      </w:pPr>
      <w:r w:rsidRPr="00F22F23">
        <w:rPr>
          <w:rFonts w:cs="Times New Roman"/>
          <w:szCs w:val="24"/>
        </w:rPr>
        <w:t>3396000/31856000 *365= 9.38</w:t>
      </w:r>
    </w:p>
    <w:p w:rsidR="00C4447D" w:rsidRPr="00F22F23" w:rsidRDefault="00DA5F9B" w:rsidP="00F22F23">
      <w:pPr>
        <w:spacing w:line="480" w:lineRule="auto"/>
        <w:rPr>
          <w:rFonts w:cs="Times New Roman"/>
          <w:szCs w:val="24"/>
        </w:rPr>
      </w:pPr>
      <w:r w:rsidRPr="00F22F23">
        <w:rPr>
          <w:rFonts w:cs="Times New Roman"/>
          <w:szCs w:val="24"/>
        </w:rPr>
        <w:t>2019</w:t>
      </w:r>
    </w:p>
    <w:p w:rsidR="00C4447D" w:rsidRPr="00F22F23" w:rsidRDefault="00DA5F9B" w:rsidP="00F22F23">
      <w:pPr>
        <w:spacing w:line="480" w:lineRule="auto"/>
        <w:rPr>
          <w:rFonts w:cs="Times New Roman"/>
          <w:szCs w:val="24"/>
        </w:rPr>
      </w:pPr>
      <w:r w:rsidRPr="00F22F23">
        <w:rPr>
          <w:rFonts w:cs="Times New Roman"/>
          <w:szCs w:val="24"/>
        </w:rPr>
        <w:t>3971000/37266000*365= 9.38</w:t>
      </w:r>
    </w:p>
    <w:p w:rsidR="00C4447D" w:rsidRPr="00F22F23" w:rsidRDefault="00DA5F9B" w:rsidP="00F22F23">
      <w:pPr>
        <w:pStyle w:val="ListParagraph"/>
        <w:numPr>
          <w:ilvl w:val="0"/>
          <w:numId w:val="2"/>
        </w:numPr>
        <w:spacing w:line="480" w:lineRule="auto"/>
        <w:rPr>
          <w:rFonts w:cs="Times New Roman"/>
          <w:szCs w:val="24"/>
        </w:rPr>
      </w:pPr>
      <w:r w:rsidRPr="00F22F23">
        <w:rPr>
          <w:rFonts w:cs="Times New Roman"/>
          <w:szCs w:val="24"/>
        </w:rPr>
        <w:t xml:space="preserve">Calculating Asset turn over capital </w:t>
      </w:r>
    </w:p>
    <w:p w:rsidR="00C4447D" w:rsidRPr="00F22F23" w:rsidRDefault="00DA5F9B" w:rsidP="00F22F23">
      <w:pPr>
        <w:spacing w:line="480" w:lineRule="auto"/>
        <w:rPr>
          <w:rFonts w:cs="Times New Roman"/>
          <w:szCs w:val="24"/>
        </w:rPr>
      </w:pPr>
      <w:r w:rsidRPr="00F22F23">
        <w:rPr>
          <w:rFonts w:cs="Times New Roman"/>
          <w:szCs w:val="24"/>
        </w:rPr>
        <w:t>Sales /fixed asset *100</w:t>
      </w:r>
    </w:p>
    <w:p w:rsidR="00C4447D" w:rsidRPr="00F22F23" w:rsidRDefault="00DA5F9B" w:rsidP="00F22F23">
      <w:pPr>
        <w:spacing w:line="480" w:lineRule="auto"/>
        <w:rPr>
          <w:rFonts w:cs="Times New Roman"/>
          <w:szCs w:val="24"/>
        </w:rPr>
      </w:pPr>
      <w:r w:rsidRPr="00F22F23">
        <w:rPr>
          <w:rFonts w:cs="Times New Roman"/>
          <w:szCs w:val="24"/>
        </w:rPr>
        <w:t xml:space="preserve"> Year 2017 </w:t>
      </w:r>
    </w:p>
    <w:p w:rsidR="00C4447D" w:rsidRPr="00F22F23" w:rsidRDefault="00DA5F9B" w:rsidP="00F22F23">
      <w:pPr>
        <w:spacing w:line="480" w:lineRule="auto"/>
        <w:rPr>
          <w:rFonts w:cs="Times New Roman"/>
          <w:szCs w:val="24"/>
        </w:rPr>
      </w:pPr>
      <w:r w:rsidRPr="00F22F23">
        <w:rPr>
          <w:rFonts w:cs="Times New Roman"/>
          <w:szCs w:val="24"/>
        </w:rPr>
        <w:t>35410000/36545000*100= 0.40</w:t>
      </w:r>
    </w:p>
    <w:p w:rsidR="00C4447D" w:rsidRPr="00F22F23" w:rsidRDefault="00DA5F9B" w:rsidP="00F22F23">
      <w:pPr>
        <w:spacing w:line="480" w:lineRule="auto"/>
        <w:rPr>
          <w:rFonts w:cs="Times New Roman"/>
          <w:szCs w:val="24"/>
        </w:rPr>
      </w:pPr>
      <w:r w:rsidRPr="00F22F23">
        <w:rPr>
          <w:rFonts w:cs="Times New Roman"/>
          <w:szCs w:val="24"/>
        </w:rPr>
        <w:t>Year 2018</w:t>
      </w:r>
    </w:p>
    <w:p w:rsidR="00C4447D" w:rsidRPr="00F22F23" w:rsidRDefault="00DA5F9B" w:rsidP="00F22F23">
      <w:pPr>
        <w:spacing w:line="480" w:lineRule="auto"/>
        <w:rPr>
          <w:rFonts w:cs="Times New Roman"/>
          <w:szCs w:val="24"/>
        </w:rPr>
      </w:pPr>
      <w:r w:rsidRPr="00F22F23">
        <w:rPr>
          <w:rFonts w:cs="Times New Roman"/>
          <w:szCs w:val="24"/>
        </w:rPr>
        <w:t>31856000/30634000*100=0.38</w:t>
      </w:r>
    </w:p>
    <w:p w:rsidR="00C4447D" w:rsidRPr="00F22F23" w:rsidRDefault="00DA5F9B" w:rsidP="00F22F23">
      <w:pPr>
        <w:spacing w:line="480" w:lineRule="auto"/>
        <w:rPr>
          <w:rFonts w:cs="Times New Roman"/>
          <w:szCs w:val="24"/>
        </w:rPr>
      </w:pPr>
      <w:r w:rsidRPr="00F22F23">
        <w:rPr>
          <w:rFonts w:cs="Times New Roman"/>
          <w:szCs w:val="24"/>
        </w:rPr>
        <w:t xml:space="preserve"> Year 2019</w:t>
      </w:r>
    </w:p>
    <w:p w:rsidR="00C4447D" w:rsidRPr="00F22F23" w:rsidRDefault="00DA5F9B" w:rsidP="00F22F23">
      <w:pPr>
        <w:spacing w:line="480" w:lineRule="auto"/>
        <w:rPr>
          <w:rFonts w:cs="Times New Roman"/>
          <w:szCs w:val="24"/>
        </w:rPr>
      </w:pPr>
      <w:r w:rsidRPr="00F22F23">
        <w:rPr>
          <w:rFonts w:cs="Times New Roman"/>
          <w:szCs w:val="24"/>
        </w:rPr>
        <w:t>37266000/20411000*100 =0.43</w:t>
      </w:r>
    </w:p>
    <w:p w:rsidR="00C4447D" w:rsidRPr="00F22F23" w:rsidRDefault="00DA5F9B" w:rsidP="00F22F23">
      <w:pPr>
        <w:spacing w:line="480" w:lineRule="auto"/>
        <w:rPr>
          <w:rFonts w:cs="Times New Roman"/>
          <w:szCs w:val="24"/>
        </w:rPr>
      </w:pPr>
      <w:r w:rsidRPr="00F22F23">
        <w:rPr>
          <w:rFonts w:cs="Times New Roman"/>
          <w:szCs w:val="24"/>
        </w:rPr>
        <w:t>Table 3: Activity Ratios of Coca Cola Company</w:t>
      </w:r>
    </w:p>
    <w:tbl>
      <w:tblPr>
        <w:tblW w:w="0" w:type="auto"/>
        <w:tblLook w:val="04A0" w:firstRow="1" w:lastRow="0" w:firstColumn="1" w:lastColumn="0" w:noHBand="0" w:noVBand="1"/>
      </w:tblPr>
      <w:tblGrid>
        <w:gridCol w:w="2435"/>
        <w:gridCol w:w="1642"/>
        <w:gridCol w:w="1643"/>
        <w:gridCol w:w="1642"/>
      </w:tblGrid>
      <w:tr w:rsidR="00C4447D" w:rsidRPr="00F22F23">
        <w:tc>
          <w:tcPr>
            <w:tcW w:w="243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bookmarkStart w:id="2" w:name="OLE_LINK2"/>
            <w:r w:rsidRPr="00F22F23">
              <w:rPr>
                <w:rFonts w:cs="Times New Roman"/>
                <w:szCs w:val="24"/>
              </w:rPr>
              <w:t>Ratio/Year</w:t>
            </w:r>
          </w:p>
        </w:tc>
        <w:tc>
          <w:tcPr>
            <w:tcW w:w="1642"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2019</w:t>
            </w:r>
          </w:p>
        </w:tc>
        <w:tc>
          <w:tcPr>
            <w:tcW w:w="1643"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2018</w:t>
            </w:r>
          </w:p>
        </w:tc>
        <w:tc>
          <w:tcPr>
            <w:tcW w:w="1642"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2017</w:t>
            </w:r>
          </w:p>
        </w:tc>
      </w:tr>
      <w:tr w:rsidR="00C4447D" w:rsidRPr="00F22F23">
        <w:tc>
          <w:tcPr>
            <w:tcW w:w="243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Inventory Turnover</w:t>
            </w:r>
          </w:p>
        </w:tc>
        <w:tc>
          <w:tcPr>
            <w:tcW w:w="164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4.33</w:t>
            </w:r>
          </w:p>
        </w:tc>
        <w:tc>
          <w:tcPr>
            <w:tcW w:w="1643"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4.26</w:t>
            </w:r>
          </w:p>
        </w:tc>
        <w:tc>
          <w:tcPr>
            <w:tcW w:w="164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4.99</w:t>
            </w:r>
          </w:p>
        </w:tc>
        <w:bookmarkEnd w:id="2"/>
      </w:tr>
      <w:tr w:rsidR="00C4447D" w:rsidRPr="00F22F23">
        <w:tc>
          <w:tcPr>
            <w:tcW w:w="243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Receivable Turnover</w:t>
            </w:r>
          </w:p>
        </w:tc>
        <w:tc>
          <w:tcPr>
            <w:tcW w:w="164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9.38</w:t>
            </w:r>
          </w:p>
        </w:tc>
        <w:tc>
          <w:tcPr>
            <w:tcW w:w="1643"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9.38</w:t>
            </w:r>
          </w:p>
        </w:tc>
        <w:tc>
          <w:tcPr>
            <w:tcW w:w="164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9.66</w:t>
            </w:r>
          </w:p>
        </w:tc>
      </w:tr>
      <w:tr w:rsidR="00C4447D" w:rsidRPr="00F22F23">
        <w:tc>
          <w:tcPr>
            <w:tcW w:w="2435"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Total Asset Turnover</w:t>
            </w:r>
          </w:p>
        </w:tc>
        <w:tc>
          <w:tcPr>
            <w:tcW w:w="164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0.43</w:t>
            </w:r>
          </w:p>
        </w:tc>
        <w:tc>
          <w:tcPr>
            <w:tcW w:w="1643"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0.38</w:t>
            </w:r>
          </w:p>
        </w:tc>
        <w:tc>
          <w:tcPr>
            <w:tcW w:w="164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0.40</w:t>
            </w:r>
          </w:p>
        </w:tc>
      </w:tr>
    </w:tbl>
    <w:p w:rsidR="00C4447D" w:rsidRPr="00F22F23" w:rsidRDefault="00DA5F9B" w:rsidP="00D901C2">
      <w:pPr>
        <w:spacing w:line="480" w:lineRule="auto"/>
        <w:ind w:firstLine="720"/>
        <w:rPr>
          <w:rFonts w:cs="Times New Roman"/>
          <w:szCs w:val="24"/>
        </w:rPr>
      </w:pPr>
      <w:r w:rsidRPr="00F22F23">
        <w:rPr>
          <w:rFonts w:cs="Times New Roman"/>
          <w:szCs w:val="24"/>
        </w:rPr>
        <w:t xml:space="preserve">Coca-Cola inventory turnover decreased from 4.99 in 2017 to 4.26 in 2018 and rose slightly to 4.33 in 2019. The case indicates that the coca-cola shelf life is longer as products take time to expire. Receivable turnover is the period taken to recover debts from customers. The optimum receivable ratio is 10; we can say that the Coca Cola Company manages a right receivable </w:t>
      </w:r>
      <w:r w:rsidR="00D901C2" w:rsidRPr="00F22F23">
        <w:rPr>
          <w:rFonts w:cs="Times New Roman"/>
          <w:szCs w:val="24"/>
        </w:rPr>
        <w:t>turnover</w:t>
      </w:r>
      <w:r w:rsidRPr="00F22F23">
        <w:rPr>
          <w:rFonts w:cs="Times New Roman"/>
          <w:szCs w:val="24"/>
        </w:rPr>
        <w:t xml:space="preserve"> ratio. The asset turnover ratio of Coca-Cola Company is 0.40 in the year 2017. It decreased to 0.38 in 2018, and then it rises slightly to 0.43 in 2019, which means that the efficiency of use of the asset to generate revenue decreases with time. </w:t>
      </w:r>
    </w:p>
    <w:p w:rsidR="00C4447D" w:rsidRPr="00F22F23" w:rsidRDefault="00DA5F9B" w:rsidP="00F22F23">
      <w:pPr>
        <w:spacing w:line="480" w:lineRule="auto"/>
        <w:rPr>
          <w:rFonts w:cs="Times New Roman"/>
          <w:b/>
          <w:szCs w:val="24"/>
        </w:rPr>
      </w:pPr>
      <w:r w:rsidRPr="00F22F23">
        <w:rPr>
          <w:rFonts w:cs="Times New Roman"/>
          <w:b/>
          <w:szCs w:val="24"/>
        </w:rPr>
        <w:t>Evaluation of Capital Structure</w:t>
      </w:r>
    </w:p>
    <w:p w:rsidR="00C4447D" w:rsidRPr="00F22F23" w:rsidRDefault="00DA5F9B" w:rsidP="00D901C2">
      <w:pPr>
        <w:spacing w:line="480" w:lineRule="auto"/>
        <w:ind w:firstLine="720"/>
        <w:rPr>
          <w:rFonts w:cs="Times New Roman"/>
          <w:szCs w:val="24"/>
        </w:rPr>
      </w:pPr>
      <w:r w:rsidRPr="00F22F23">
        <w:rPr>
          <w:rFonts w:cs="Times New Roman"/>
          <w:szCs w:val="24"/>
        </w:rPr>
        <w:t xml:space="preserve">Capital evaluation Measures how much debt or equity a company has employed to finance its operations (Amati, 2019). </w:t>
      </w:r>
    </w:p>
    <w:p w:rsidR="00C4447D" w:rsidRPr="00F22F23" w:rsidRDefault="00DA5F9B" w:rsidP="00D901C2">
      <w:pPr>
        <w:spacing w:line="480" w:lineRule="auto"/>
        <w:jc w:val="center"/>
        <w:rPr>
          <w:rFonts w:cs="Times New Roman"/>
          <w:szCs w:val="24"/>
        </w:rPr>
      </w:pPr>
      <w:r w:rsidRPr="00F22F23">
        <w:rPr>
          <w:rFonts w:cs="Times New Roman"/>
          <w:szCs w:val="24"/>
        </w:rPr>
        <w:t>Table 4: Debt Ratios of Coca Cola Company</w:t>
      </w:r>
    </w:p>
    <w:tbl>
      <w:tblPr>
        <w:tblW w:w="0" w:type="auto"/>
        <w:tblLook w:val="04A0" w:firstRow="1" w:lastRow="0" w:firstColumn="1" w:lastColumn="0" w:noHBand="0" w:noVBand="1"/>
      </w:tblPr>
      <w:tblGrid>
        <w:gridCol w:w="2599"/>
        <w:gridCol w:w="1601"/>
        <w:gridCol w:w="1602"/>
        <w:gridCol w:w="1723"/>
      </w:tblGrid>
      <w:tr w:rsidR="00C4447D" w:rsidRPr="00F22F23">
        <w:trPr>
          <w:trHeight w:val="555"/>
        </w:trPr>
        <w:tc>
          <w:tcPr>
            <w:tcW w:w="2599"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bookmarkStart w:id="3" w:name="OLE_LINK3"/>
            <w:r w:rsidRPr="00F22F23">
              <w:rPr>
                <w:rFonts w:cs="Times New Roman"/>
                <w:szCs w:val="24"/>
              </w:rPr>
              <w:t>Ratio/Year</w:t>
            </w:r>
          </w:p>
        </w:tc>
        <w:tc>
          <w:tcPr>
            <w:tcW w:w="1601"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2019</w:t>
            </w:r>
          </w:p>
        </w:tc>
        <w:tc>
          <w:tcPr>
            <w:tcW w:w="1602"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2018</w:t>
            </w:r>
          </w:p>
        </w:tc>
        <w:tc>
          <w:tcPr>
            <w:tcW w:w="1723"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2017</w:t>
            </w:r>
          </w:p>
        </w:tc>
      </w:tr>
      <w:tr w:rsidR="00C4447D" w:rsidRPr="00F22F23">
        <w:tc>
          <w:tcPr>
            <w:tcW w:w="2599" w:type="dxa"/>
            <w:tcBorders>
              <w:top w:val="single" w:sz="4" w:space="0" w:color="auto"/>
              <w:left w:val="single" w:sz="4" w:space="0" w:color="auto"/>
              <w:bottom w:val="single" w:sz="4" w:space="0" w:color="auto"/>
              <w:right w:val="single" w:sz="4" w:space="0" w:color="auto"/>
            </w:tcBorders>
          </w:tcPr>
          <w:p w:rsidR="00C4447D" w:rsidRPr="00F22F23" w:rsidRDefault="00DA5F9B" w:rsidP="00F22F23">
            <w:pPr>
              <w:spacing w:line="480" w:lineRule="auto"/>
              <w:jc w:val="center"/>
              <w:rPr>
                <w:rFonts w:cs="Times New Roman"/>
                <w:szCs w:val="24"/>
              </w:rPr>
            </w:pPr>
            <w:r w:rsidRPr="00F22F23">
              <w:rPr>
                <w:rFonts w:cs="Times New Roman"/>
                <w:szCs w:val="24"/>
              </w:rPr>
              <w:t>Debt Ratio</w:t>
            </w:r>
          </w:p>
        </w:tc>
        <w:tc>
          <w:tcPr>
            <w:tcW w:w="1601"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76%</w:t>
            </w:r>
          </w:p>
        </w:tc>
        <w:tc>
          <w:tcPr>
            <w:tcW w:w="1602"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77%</w:t>
            </w:r>
          </w:p>
        </w:tc>
        <w:tc>
          <w:tcPr>
            <w:tcW w:w="1723" w:type="dxa"/>
            <w:tcBorders>
              <w:top w:val="single" w:sz="4" w:space="0" w:color="auto"/>
              <w:left w:val="single" w:sz="4" w:space="0" w:color="auto"/>
              <w:bottom w:val="single" w:sz="4" w:space="0" w:color="auto"/>
              <w:right w:val="single" w:sz="4" w:space="0" w:color="auto"/>
            </w:tcBorders>
            <w:vAlign w:val="center"/>
          </w:tcPr>
          <w:p w:rsidR="00C4447D" w:rsidRPr="00F22F23" w:rsidRDefault="00DA5F9B" w:rsidP="00F22F23">
            <w:pPr>
              <w:spacing w:line="480" w:lineRule="auto"/>
              <w:jc w:val="center"/>
              <w:rPr>
                <w:rFonts w:cs="Times New Roman"/>
                <w:szCs w:val="24"/>
              </w:rPr>
            </w:pPr>
            <w:r w:rsidRPr="00F22F23">
              <w:rPr>
                <w:rFonts w:cs="Times New Roman"/>
                <w:szCs w:val="24"/>
              </w:rPr>
              <w:t>78%</w:t>
            </w:r>
          </w:p>
        </w:tc>
      </w:tr>
    </w:tbl>
    <w:bookmarkEnd w:id="3"/>
    <w:p w:rsidR="00C4447D" w:rsidRPr="00F22F23" w:rsidRDefault="00DA5F9B" w:rsidP="00F22F23">
      <w:pPr>
        <w:spacing w:line="480" w:lineRule="auto"/>
        <w:rPr>
          <w:rFonts w:cs="Times New Roman"/>
          <w:szCs w:val="24"/>
        </w:rPr>
      </w:pPr>
      <w:r w:rsidRPr="00F22F23">
        <w:rPr>
          <w:rFonts w:cs="Times New Roman"/>
          <w:szCs w:val="24"/>
        </w:rPr>
        <w:t>The drop in the debt ratio from 78% in 2017 to 76% in 2019 shows that the company dependency on the debt has decreased but is still high.</w:t>
      </w:r>
    </w:p>
    <w:p w:rsidR="00C4447D" w:rsidRPr="00F22F23" w:rsidRDefault="00DA5F9B" w:rsidP="00F22F23">
      <w:pPr>
        <w:spacing w:line="480" w:lineRule="auto"/>
        <w:rPr>
          <w:rFonts w:cs="Times New Roman"/>
          <w:szCs w:val="24"/>
        </w:rPr>
      </w:pPr>
      <w:r w:rsidRPr="00F22F23">
        <w:rPr>
          <w:rFonts w:cs="Times New Roman"/>
          <w:szCs w:val="24"/>
        </w:rPr>
        <w:t xml:space="preserve">The equity ratio is calculated using shareowners capital employed /equity capital or 1-debt ratio </w:t>
      </w:r>
    </w:p>
    <w:p w:rsidR="00C4447D" w:rsidRPr="00F22F23" w:rsidRDefault="00DA5F9B" w:rsidP="00F22F23">
      <w:pPr>
        <w:spacing w:line="480" w:lineRule="auto"/>
        <w:rPr>
          <w:rFonts w:cs="Times New Roman"/>
          <w:szCs w:val="24"/>
        </w:rPr>
      </w:pPr>
      <w:r w:rsidRPr="00F22F23">
        <w:rPr>
          <w:rFonts w:cs="Times New Roman"/>
          <w:szCs w:val="24"/>
        </w:rPr>
        <w:t>The year 2017</w:t>
      </w:r>
    </w:p>
    <w:p w:rsidR="00C4447D" w:rsidRPr="00F22F23" w:rsidRDefault="00DA5F9B" w:rsidP="00F22F23">
      <w:pPr>
        <w:spacing w:line="480" w:lineRule="auto"/>
        <w:rPr>
          <w:rFonts w:cs="Times New Roman"/>
          <w:szCs w:val="24"/>
        </w:rPr>
      </w:pPr>
      <w:r w:rsidRPr="00F22F23">
        <w:rPr>
          <w:rFonts w:cs="Times New Roman"/>
          <w:szCs w:val="24"/>
        </w:rPr>
        <w:t xml:space="preserve">1-0.78 = 0.22 *100 </w:t>
      </w:r>
    </w:p>
    <w:p w:rsidR="00C4447D" w:rsidRPr="00F22F23" w:rsidRDefault="00DA5F9B" w:rsidP="00F22F23">
      <w:pPr>
        <w:spacing w:line="480" w:lineRule="auto"/>
        <w:rPr>
          <w:rFonts w:cs="Times New Roman"/>
          <w:szCs w:val="24"/>
        </w:rPr>
      </w:pPr>
      <w:r w:rsidRPr="00F22F23">
        <w:rPr>
          <w:rFonts w:cs="Times New Roman"/>
          <w:szCs w:val="24"/>
        </w:rPr>
        <w:t>22%</w:t>
      </w:r>
    </w:p>
    <w:p w:rsidR="00C4447D" w:rsidRPr="00F22F23" w:rsidRDefault="00DA5F9B" w:rsidP="00F22F23">
      <w:pPr>
        <w:spacing w:line="480" w:lineRule="auto"/>
        <w:rPr>
          <w:rFonts w:cs="Times New Roman"/>
          <w:szCs w:val="24"/>
        </w:rPr>
      </w:pPr>
      <w:r w:rsidRPr="00F22F23">
        <w:rPr>
          <w:rFonts w:cs="Times New Roman"/>
          <w:szCs w:val="24"/>
        </w:rPr>
        <w:t>The year 2018</w:t>
      </w:r>
    </w:p>
    <w:p w:rsidR="00C4447D" w:rsidRPr="00F22F23" w:rsidRDefault="00DA5F9B" w:rsidP="00F22F23">
      <w:pPr>
        <w:spacing w:line="480" w:lineRule="auto"/>
        <w:rPr>
          <w:rFonts w:cs="Times New Roman"/>
          <w:szCs w:val="24"/>
        </w:rPr>
      </w:pPr>
      <w:r w:rsidRPr="00F22F23">
        <w:rPr>
          <w:rFonts w:cs="Times New Roman"/>
          <w:szCs w:val="24"/>
        </w:rPr>
        <w:t xml:space="preserve">1-0.77 = 0.23 *100 </w:t>
      </w:r>
    </w:p>
    <w:p w:rsidR="00C4447D" w:rsidRPr="00F22F23" w:rsidRDefault="00DA5F9B" w:rsidP="00F22F23">
      <w:pPr>
        <w:spacing w:line="480" w:lineRule="auto"/>
        <w:rPr>
          <w:rFonts w:cs="Times New Roman"/>
          <w:szCs w:val="24"/>
        </w:rPr>
      </w:pPr>
      <w:r w:rsidRPr="00F22F23">
        <w:rPr>
          <w:rFonts w:cs="Times New Roman"/>
          <w:szCs w:val="24"/>
        </w:rPr>
        <w:t>23%</w:t>
      </w:r>
    </w:p>
    <w:p w:rsidR="00C4447D" w:rsidRPr="00F22F23" w:rsidRDefault="00DA5F9B" w:rsidP="00F22F23">
      <w:pPr>
        <w:spacing w:line="480" w:lineRule="auto"/>
        <w:rPr>
          <w:rFonts w:cs="Times New Roman"/>
          <w:szCs w:val="24"/>
        </w:rPr>
      </w:pPr>
      <w:r w:rsidRPr="00F22F23">
        <w:rPr>
          <w:rFonts w:cs="Times New Roman"/>
          <w:szCs w:val="24"/>
        </w:rPr>
        <w:t xml:space="preserve">The year 2019 </w:t>
      </w:r>
    </w:p>
    <w:p w:rsidR="00C4447D" w:rsidRPr="00F22F23" w:rsidRDefault="00DA5F9B" w:rsidP="00F22F23">
      <w:pPr>
        <w:spacing w:line="480" w:lineRule="auto"/>
        <w:rPr>
          <w:rFonts w:cs="Times New Roman"/>
          <w:szCs w:val="24"/>
        </w:rPr>
      </w:pPr>
      <w:r w:rsidRPr="00F22F23">
        <w:rPr>
          <w:rFonts w:cs="Times New Roman"/>
          <w:szCs w:val="24"/>
        </w:rPr>
        <w:t>1 - 0.76 =0.24 *100</w:t>
      </w:r>
    </w:p>
    <w:p w:rsidR="00C4447D" w:rsidRPr="00F22F23" w:rsidRDefault="00DA5F9B" w:rsidP="00F22F23">
      <w:pPr>
        <w:spacing w:line="480" w:lineRule="auto"/>
        <w:rPr>
          <w:rFonts w:cs="Times New Roman"/>
          <w:szCs w:val="24"/>
        </w:rPr>
      </w:pPr>
      <w:r w:rsidRPr="00F22F23">
        <w:rPr>
          <w:rFonts w:cs="Times New Roman"/>
          <w:szCs w:val="24"/>
        </w:rPr>
        <w:t>24%</w:t>
      </w:r>
    </w:p>
    <w:p w:rsidR="00C4447D" w:rsidRPr="00F22F23" w:rsidRDefault="00DA5F9B" w:rsidP="00F22F23">
      <w:pPr>
        <w:spacing w:line="480" w:lineRule="auto"/>
        <w:rPr>
          <w:rFonts w:cs="Times New Roman"/>
          <w:szCs w:val="24"/>
        </w:rPr>
      </w:pPr>
      <w:r w:rsidRPr="00F22F23">
        <w:rPr>
          <w:rFonts w:cs="Times New Roman"/>
          <w:szCs w:val="24"/>
        </w:rPr>
        <w:t xml:space="preserve">The company equity ratio drops increases from the year 2017 to 2019 from 22 % to 24%, therefore regarded as highly leveraged since it holds an equity ratio of less than 50% overall. </w:t>
      </w:r>
    </w:p>
    <w:p w:rsidR="00C4447D" w:rsidRPr="00F22F23" w:rsidRDefault="00C4447D" w:rsidP="00F22F23">
      <w:pPr>
        <w:spacing w:line="480" w:lineRule="auto"/>
        <w:rPr>
          <w:rFonts w:cs="Times New Roman"/>
          <w:szCs w:val="24"/>
        </w:rPr>
      </w:pPr>
    </w:p>
    <w:p w:rsidR="00C4447D" w:rsidRPr="00F22F23" w:rsidRDefault="00DA5F9B" w:rsidP="00F22F23">
      <w:pPr>
        <w:spacing w:line="480" w:lineRule="auto"/>
        <w:rPr>
          <w:rFonts w:cs="Times New Roman"/>
          <w:szCs w:val="24"/>
        </w:rPr>
      </w:pPr>
      <w:r w:rsidRPr="00F22F23">
        <w:rPr>
          <w:rFonts w:cs="Times New Roman"/>
          <w:szCs w:val="24"/>
        </w:rPr>
        <w:t xml:space="preserve"> </w:t>
      </w:r>
    </w:p>
    <w:p w:rsidR="00C4447D" w:rsidRPr="00F22F23" w:rsidRDefault="00D901C2" w:rsidP="00F22F23">
      <w:pPr>
        <w:spacing w:line="480" w:lineRule="auto"/>
        <w:rPr>
          <w:rFonts w:cs="Times New Roman"/>
          <w:szCs w:val="24"/>
        </w:rPr>
      </w:pPr>
      <w:r>
        <w:rPr>
          <w:rFonts w:cs="Times New Roman"/>
          <w:szCs w:val="24"/>
        </w:rPr>
        <w:t xml:space="preserve">         </w:t>
      </w:r>
      <w:r w:rsidR="00DA5F9B" w:rsidRPr="00F22F23">
        <w:rPr>
          <w:rFonts w:cs="Times New Roman"/>
          <w:szCs w:val="24"/>
        </w:rPr>
        <w:t xml:space="preserve">                                         </w:t>
      </w:r>
    </w:p>
    <w:p w:rsidR="00D901C2" w:rsidRDefault="00D901C2">
      <w:pPr>
        <w:rPr>
          <w:rFonts w:cs="Times New Roman"/>
          <w:b/>
          <w:szCs w:val="24"/>
        </w:rPr>
      </w:pPr>
      <w:r>
        <w:rPr>
          <w:rFonts w:cs="Times New Roman"/>
          <w:b/>
          <w:szCs w:val="24"/>
        </w:rPr>
        <w:br w:type="page"/>
      </w:r>
    </w:p>
    <w:p w:rsidR="00C4447D" w:rsidRPr="00F22F23" w:rsidRDefault="00DA5F9B" w:rsidP="00F22F23">
      <w:pPr>
        <w:spacing w:line="480" w:lineRule="auto"/>
        <w:rPr>
          <w:rFonts w:cs="Times New Roman"/>
          <w:b/>
          <w:szCs w:val="24"/>
        </w:rPr>
      </w:pPr>
      <w:r w:rsidRPr="00F22F23">
        <w:rPr>
          <w:rFonts w:cs="Times New Roman"/>
          <w:b/>
          <w:szCs w:val="24"/>
        </w:rPr>
        <w:t xml:space="preserve">Coca-Cola Market Evaluation </w:t>
      </w:r>
    </w:p>
    <w:p w:rsidR="00C4447D" w:rsidRPr="00F22F23" w:rsidRDefault="00DA5F9B" w:rsidP="00F22F23">
      <w:pPr>
        <w:spacing w:line="480" w:lineRule="auto"/>
        <w:ind w:firstLine="720"/>
        <w:rPr>
          <w:rFonts w:cs="Times New Roman"/>
          <w:szCs w:val="24"/>
        </w:rPr>
      </w:pPr>
      <w:r w:rsidRPr="00F22F23">
        <w:rPr>
          <w:rFonts w:cs="Times New Roman"/>
          <w:szCs w:val="24"/>
        </w:rPr>
        <w:t>Apart from distributing non-alcoholic beverages (soda), Coca-Cola makes not less than 3500 beverages, including energy drinks like monster energy coffee/tea beverages and juice drinks. For example, Coca-Cola has dramatically benefited from the marketing and distribution of minute Maid. Also, Coca-Cola is the most widely recognized brand in the market. The company's logo has been re-designed to three P's: preference, pervasive penetration, and price-related value. The aim is to make the brand to be known continuously and keep prices within the acceptable range (Grgić, 2020). Another aspect is the target market, where the company targets everyone in the global market. They manage to reach their customers using various platforms such as Facebook pages, Blogs, TV adverts, Billboards, and many more.</w:t>
      </w:r>
    </w:p>
    <w:p w:rsidR="00C4447D" w:rsidRPr="00F22F23" w:rsidRDefault="00DA5F9B" w:rsidP="00F22F23">
      <w:pPr>
        <w:spacing w:line="480" w:lineRule="auto"/>
        <w:rPr>
          <w:rFonts w:cs="Times New Roman"/>
          <w:szCs w:val="24"/>
        </w:rPr>
      </w:pPr>
      <w:r w:rsidRPr="00F22F23">
        <w:rPr>
          <w:rFonts w:cs="Times New Roman"/>
          <w:szCs w:val="24"/>
        </w:rPr>
        <w:t xml:space="preserve">                                                                 </w:t>
      </w:r>
    </w:p>
    <w:p w:rsidR="00C4447D" w:rsidRPr="00F22F23" w:rsidRDefault="00C4447D" w:rsidP="00F22F23">
      <w:pPr>
        <w:spacing w:line="480" w:lineRule="auto"/>
        <w:rPr>
          <w:rFonts w:cs="Times New Roman"/>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F22F23">
      <w:pPr>
        <w:jc w:val="center"/>
        <w:rPr>
          <w:rFonts w:cs="Times New Roman"/>
          <w:b/>
          <w:szCs w:val="24"/>
        </w:rPr>
      </w:pPr>
    </w:p>
    <w:p w:rsidR="00D82590" w:rsidRDefault="00D82590" w:rsidP="00D901C2">
      <w:pPr>
        <w:rPr>
          <w:rFonts w:cs="Times New Roman"/>
          <w:b/>
          <w:szCs w:val="24"/>
        </w:rPr>
      </w:pPr>
    </w:p>
    <w:p w:rsidR="00D82590" w:rsidRDefault="00D82590" w:rsidP="00F22F23">
      <w:pPr>
        <w:jc w:val="center"/>
        <w:rPr>
          <w:rFonts w:cs="Times New Roman"/>
          <w:b/>
          <w:szCs w:val="24"/>
        </w:rPr>
      </w:pPr>
    </w:p>
    <w:p w:rsidR="00C4447D" w:rsidRPr="00F22F23" w:rsidRDefault="00DA5F9B" w:rsidP="00F22F23">
      <w:pPr>
        <w:jc w:val="center"/>
        <w:rPr>
          <w:rFonts w:cs="Times New Roman"/>
          <w:b/>
          <w:szCs w:val="24"/>
        </w:rPr>
      </w:pPr>
      <w:r w:rsidRPr="00F22F23">
        <w:rPr>
          <w:rFonts w:cs="Times New Roman"/>
          <w:b/>
          <w:szCs w:val="24"/>
        </w:rPr>
        <w:t>Reference</w:t>
      </w:r>
    </w:p>
    <w:p w:rsidR="00C4447D" w:rsidRPr="00F22F23" w:rsidRDefault="00DA5F9B">
      <w:pPr>
        <w:spacing w:line="480" w:lineRule="auto"/>
        <w:ind w:left="720" w:hanging="720"/>
        <w:rPr>
          <w:rFonts w:cs="Times New Roman"/>
          <w:szCs w:val="24"/>
        </w:rPr>
      </w:pPr>
      <w:r w:rsidRPr="00F22F23">
        <w:rPr>
          <w:rFonts w:cs="Times New Roman"/>
          <w:szCs w:val="24"/>
        </w:rPr>
        <w:t xml:space="preserve">Brownlee, E. R., Dmytriyev, S., &amp; Elias, A. (2017). Integrative Stakeholder Engagement: Stakeholder-Oriented Partnership </w:t>
      </w:r>
      <w:r w:rsidR="00D901C2" w:rsidRPr="00F22F23">
        <w:rPr>
          <w:rFonts w:cs="Times New Roman"/>
          <w:szCs w:val="24"/>
        </w:rPr>
        <w:t>between</w:t>
      </w:r>
      <w:r w:rsidRPr="00F22F23">
        <w:rPr>
          <w:rFonts w:cs="Times New Roman"/>
          <w:szCs w:val="24"/>
        </w:rPr>
        <w:t xml:space="preserve"> the Coca-Cola Company and World Wildlife Fund. In Stakeholder engagement: Clinical research cases (pp. 339-367). Springer, Cham.</w:t>
      </w:r>
    </w:p>
    <w:p w:rsidR="00C4447D" w:rsidRPr="00F22F23" w:rsidRDefault="00DA5F9B">
      <w:pPr>
        <w:spacing w:line="480" w:lineRule="auto"/>
        <w:ind w:left="720" w:hanging="720"/>
        <w:rPr>
          <w:rFonts w:cs="Times New Roman"/>
          <w:szCs w:val="24"/>
        </w:rPr>
      </w:pPr>
      <w:r w:rsidRPr="00F22F23">
        <w:rPr>
          <w:rFonts w:cs="Times New Roman"/>
          <w:szCs w:val="24"/>
        </w:rPr>
        <w:t xml:space="preserve">Xiao, Z., &amp; Zhang, J. (2020). The Analysis of Effectiveness of Cost Control Strategy on the Profitability of Coca-Cola Company </w:t>
      </w:r>
      <w:r w:rsidR="00D901C2" w:rsidRPr="00F22F23">
        <w:rPr>
          <w:rFonts w:cs="Times New Roman"/>
          <w:szCs w:val="24"/>
        </w:rPr>
        <w:t>from</w:t>
      </w:r>
      <w:r w:rsidRPr="00F22F23">
        <w:rPr>
          <w:rFonts w:cs="Times New Roman"/>
          <w:szCs w:val="24"/>
        </w:rPr>
        <w:t xml:space="preserve"> the Year 2015 to 2017. Management, 8(3), 232-239.</w:t>
      </w:r>
    </w:p>
    <w:p w:rsidR="00C4447D" w:rsidRPr="00F22F23" w:rsidRDefault="00DA5F9B">
      <w:pPr>
        <w:spacing w:line="480" w:lineRule="auto"/>
        <w:ind w:left="720" w:hanging="720"/>
        <w:rPr>
          <w:rFonts w:cs="Times New Roman"/>
          <w:szCs w:val="24"/>
        </w:rPr>
      </w:pPr>
      <w:r w:rsidRPr="00F22F23">
        <w:rPr>
          <w:rFonts w:cs="Times New Roman"/>
          <w:szCs w:val="24"/>
        </w:rPr>
        <w:t>Grgić, J. (2020). Coca-Cola internationalization strategies (Doctoral dissertation, University of Zagreb. Faculty of Economics and Business. Department of International Economics.).</w:t>
      </w:r>
    </w:p>
    <w:p w:rsidR="00C4447D" w:rsidRPr="00F22F23" w:rsidRDefault="00DA5F9B">
      <w:pPr>
        <w:spacing w:line="480" w:lineRule="auto"/>
        <w:ind w:left="720" w:hanging="720"/>
        <w:rPr>
          <w:rFonts w:cs="Times New Roman"/>
          <w:szCs w:val="24"/>
        </w:rPr>
      </w:pPr>
      <w:r w:rsidRPr="00F22F23">
        <w:rPr>
          <w:rFonts w:cs="Times New Roman"/>
          <w:szCs w:val="24"/>
        </w:rPr>
        <w:t>Li, X. (2019). Financial Analysis of Coca-Cola Company.</w:t>
      </w:r>
    </w:p>
    <w:p w:rsidR="00C4447D" w:rsidRPr="00F22F23" w:rsidRDefault="00DA5F9B">
      <w:pPr>
        <w:spacing w:line="480" w:lineRule="auto"/>
        <w:ind w:left="720" w:hanging="720"/>
        <w:rPr>
          <w:rFonts w:cs="Times New Roman"/>
          <w:szCs w:val="24"/>
        </w:rPr>
      </w:pPr>
      <w:r w:rsidRPr="00F22F23">
        <w:rPr>
          <w:rFonts w:cs="Times New Roman"/>
          <w:szCs w:val="24"/>
        </w:rPr>
        <w:t>Amati, J. (2019). Strategic performance analysis trough Financial Statement and Stock Market Data. The Coca-Cola case.</w:t>
      </w:r>
    </w:p>
    <w:p w:rsidR="00C4447D" w:rsidRPr="00F22F23" w:rsidRDefault="00C4447D">
      <w:pPr>
        <w:rPr>
          <w:rFonts w:cs="Times New Roman"/>
          <w:szCs w:val="24"/>
        </w:rPr>
      </w:pPr>
    </w:p>
    <w:p w:rsidR="00C4447D" w:rsidRPr="00F22F23" w:rsidRDefault="00C4447D">
      <w:pPr>
        <w:rPr>
          <w:rFonts w:cs="Times New Roman"/>
          <w:szCs w:val="24"/>
        </w:rPr>
      </w:pPr>
    </w:p>
    <w:p w:rsidR="00C4447D" w:rsidRPr="00F22F23" w:rsidRDefault="00C4447D">
      <w:pPr>
        <w:rPr>
          <w:rFonts w:cs="Times New Roman"/>
          <w:szCs w:val="24"/>
        </w:rPr>
      </w:pPr>
    </w:p>
    <w:sectPr w:rsidR="00C4447D" w:rsidRPr="00F22F2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B2C" w:rsidRDefault="00DE4B2C">
      <w:pPr>
        <w:spacing w:after="0" w:line="240" w:lineRule="auto"/>
      </w:pPr>
      <w:r>
        <w:separator/>
      </w:r>
    </w:p>
  </w:endnote>
  <w:endnote w:type="continuationSeparator" w:id="0">
    <w:p w:rsidR="00DE4B2C" w:rsidRDefault="00DE4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47D" w:rsidRDefault="00C4447D">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B2C" w:rsidRDefault="00DE4B2C">
      <w:pPr>
        <w:spacing w:after="0" w:line="240" w:lineRule="auto"/>
      </w:pPr>
      <w:r>
        <w:separator/>
      </w:r>
    </w:p>
  </w:footnote>
  <w:footnote w:type="continuationSeparator" w:id="0">
    <w:p w:rsidR="00DE4B2C" w:rsidRDefault="00DE4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47D" w:rsidRDefault="00DA5F9B">
    <w:pPr>
      <w:pStyle w:val="Header"/>
      <w:jc w:val="right"/>
    </w:pPr>
    <w:r>
      <w:t>COCA-COLA COMPANY FINANCIAL ANALYSIS</w:t>
    </w:r>
    <w:r>
      <w:tab/>
    </w:r>
    <w:r>
      <w:fldChar w:fldCharType="begin"/>
    </w:r>
    <w:r>
      <w:instrText xml:space="preserve"> PAGE   \* MERGEFORMAT </w:instrText>
    </w:r>
    <w:r>
      <w:fldChar w:fldCharType="separate"/>
    </w:r>
    <w:r w:rsidR="00DE4B2C">
      <w:rPr>
        <w:noProof/>
      </w:rPr>
      <w:t>1</w:t>
    </w:r>
    <w:r>
      <w:rPr>
        <w:noProof/>
      </w:rPr>
      <w:fldChar w:fldCharType="end"/>
    </w:r>
  </w:p>
  <w:p w:rsidR="00C4447D" w:rsidRDefault="00C444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DECE684"/>
    <w:lvl w:ilvl="0" w:tplc="5AB06B40">
      <w:start w:val="1"/>
      <w:numFmt w:val="lowerLetter"/>
      <w:lvlText w:val="%1)"/>
      <w:lvlJc w:val="left"/>
      <w:pPr>
        <w:ind w:left="720" w:hanging="360"/>
      </w:pPr>
      <w:rPr>
        <w:rFonts w:hint="default"/>
      </w:rPr>
    </w:lvl>
    <w:lvl w:ilvl="1" w:tplc="D32AA924" w:tentative="1">
      <w:start w:val="1"/>
      <w:numFmt w:val="lowerLetter"/>
      <w:lvlText w:val="%2."/>
      <w:lvlJc w:val="left"/>
      <w:pPr>
        <w:ind w:left="1440" w:hanging="360"/>
      </w:pPr>
    </w:lvl>
    <w:lvl w:ilvl="2" w:tplc="7A9E995C" w:tentative="1">
      <w:start w:val="1"/>
      <w:numFmt w:val="lowerRoman"/>
      <w:lvlText w:val="%3."/>
      <w:lvlJc w:val="right"/>
      <w:pPr>
        <w:ind w:left="2160" w:hanging="180"/>
      </w:pPr>
    </w:lvl>
    <w:lvl w:ilvl="3" w:tplc="DCD80BB8" w:tentative="1">
      <w:start w:val="1"/>
      <w:numFmt w:val="decimal"/>
      <w:lvlText w:val="%4."/>
      <w:lvlJc w:val="left"/>
      <w:pPr>
        <w:ind w:left="2880" w:hanging="360"/>
      </w:pPr>
    </w:lvl>
    <w:lvl w:ilvl="4" w:tplc="CD3CFCCC" w:tentative="1">
      <w:start w:val="1"/>
      <w:numFmt w:val="lowerLetter"/>
      <w:lvlText w:val="%5."/>
      <w:lvlJc w:val="left"/>
      <w:pPr>
        <w:ind w:left="3600" w:hanging="360"/>
      </w:pPr>
    </w:lvl>
    <w:lvl w:ilvl="5" w:tplc="A60821E2" w:tentative="1">
      <w:start w:val="1"/>
      <w:numFmt w:val="lowerRoman"/>
      <w:lvlText w:val="%6."/>
      <w:lvlJc w:val="right"/>
      <w:pPr>
        <w:ind w:left="4320" w:hanging="180"/>
      </w:pPr>
    </w:lvl>
    <w:lvl w:ilvl="6" w:tplc="2CD2C734" w:tentative="1">
      <w:start w:val="1"/>
      <w:numFmt w:val="decimal"/>
      <w:lvlText w:val="%7."/>
      <w:lvlJc w:val="left"/>
      <w:pPr>
        <w:ind w:left="5040" w:hanging="360"/>
      </w:pPr>
    </w:lvl>
    <w:lvl w:ilvl="7" w:tplc="A7C23314" w:tentative="1">
      <w:start w:val="1"/>
      <w:numFmt w:val="lowerLetter"/>
      <w:lvlText w:val="%8."/>
      <w:lvlJc w:val="left"/>
      <w:pPr>
        <w:ind w:left="5760" w:hanging="360"/>
      </w:pPr>
    </w:lvl>
    <w:lvl w:ilvl="8" w:tplc="0A7EDD94" w:tentative="1">
      <w:start w:val="1"/>
      <w:numFmt w:val="lowerRoman"/>
      <w:lvlText w:val="%9."/>
      <w:lvlJc w:val="right"/>
      <w:pPr>
        <w:ind w:left="6480" w:hanging="180"/>
      </w:pPr>
    </w:lvl>
  </w:abstractNum>
  <w:abstractNum w:abstractNumId="1">
    <w:nsid w:val="49383DF6"/>
    <w:multiLevelType w:val="hybridMultilevel"/>
    <w:tmpl w:val="7D08FCC0"/>
    <w:lvl w:ilvl="0" w:tplc="5CA0EED2">
      <w:start w:val="1"/>
      <w:numFmt w:val="lowerLetter"/>
      <w:lvlText w:val="%1)"/>
      <w:lvlJc w:val="left"/>
      <w:pPr>
        <w:ind w:left="720" w:hanging="360"/>
      </w:pPr>
      <w:rPr>
        <w:rFonts w:hint="default"/>
      </w:rPr>
    </w:lvl>
    <w:lvl w:ilvl="1" w:tplc="B1DCB154" w:tentative="1">
      <w:start w:val="1"/>
      <w:numFmt w:val="lowerLetter"/>
      <w:lvlText w:val="%2."/>
      <w:lvlJc w:val="left"/>
      <w:pPr>
        <w:ind w:left="1440" w:hanging="360"/>
      </w:pPr>
    </w:lvl>
    <w:lvl w:ilvl="2" w:tplc="752EF4C4" w:tentative="1">
      <w:start w:val="1"/>
      <w:numFmt w:val="lowerRoman"/>
      <w:lvlText w:val="%3."/>
      <w:lvlJc w:val="right"/>
      <w:pPr>
        <w:ind w:left="2160" w:hanging="180"/>
      </w:pPr>
    </w:lvl>
    <w:lvl w:ilvl="3" w:tplc="B1DE385E" w:tentative="1">
      <w:start w:val="1"/>
      <w:numFmt w:val="decimal"/>
      <w:lvlText w:val="%4."/>
      <w:lvlJc w:val="left"/>
      <w:pPr>
        <w:ind w:left="2880" w:hanging="360"/>
      </w:pPr>
    </w:lvl>
    <w:lvl w:ilvl="4" w:tplc="E8E2C37C" w:tentative="1">
      <w:start w:val="1"/>
      <w:numFmt w:val="lowerLetter"/>
      <w:lvlText w:val="%5."/>
      <w:lvlJc w:val="left"/>
      <w:pPr>
        <w:ind w:left="3600" w:hanging="360"/>
      </w:pPr>
    </w:lvl>
    <w:lvl w:ilvl="5" w:tplc="18B8AA32" w:tentative="1">
      <w:start w:val="1"/>
      <w:numFmt w:val="lowerRoman"/>
      <w:lvlText w:val="%6."/>
      <w:lvlJc w:val="right"/>
      <w:pPr>
        <w:ind w:left="4320" w:hanging="180"/>
      </w:pPr>
    </w:lvl>
    <w:lvl w:ilvl="6" w:tplc="C34823FA" w:tentative="1">
      <w:start w:val="1"/>
      <w:numFmt w:val="decimal"/>
      <w:lvlText w:val="%7."/>
      <w:lvlJc w:val="left"/>
      <w:pPr>
        <w:ind w:left="5040" w:hanging="360"/>
      </w:pPr>
    </w:lvl>
    <w:lvl w:ilvl="7" w:tplc="8C36547C" w:tentative="1">
      <w:start w:val="1"/>
      <w:numFmt w:val="lowerLetter"/>
      <w:lvlText w:val="%8."/>
      <w:lvlJc w:val="left"/>
      <w:pPr>
        <w:ind w:left="5760" w:hanging="360"/>
      </w:pPr>
    </w:lvl>
    <w:lvl w:ilvl="8" w:tplc="977CE09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47D"/>
    <w:rsid w:val="003D2326"/>
    <w:rsid w:val="00C4447D"/>
    <w:rsid w:val="00D82590"/>
    <w:rsid w:val="00D901C2"/>
    <w:rsid w:val="00DA5F9B"/>
    <w:rsid w:val="00DE4B2C"/>
    <w:rsid w:val="00F22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qFormat/>
    <w:pPr>
      <w:keepNext/>
      <w:keepLines/>
      <w:widowControl w:val="0"/>
      <w:spacing w:before="240" w:after="0"/>
      <w:outlineLvl w:val="0"/>
    </w:pPr>
    <w:rPr>
      <w:rFonts w:ascii="Calibri Light" w:eastAsia="SimSun" w:hAnsi="Calibri Light" w:cs="Times New Roman" w:hint="eastAsia"/>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pPr>
      <w:tabs>
        <w:tab w:val="center" w:pos="4680"/>
        <w:tab w:val="right" w:pos="9360"/>
      </w:tabs>
      <w:spacing w:after="0"/>
    </w:pPr>
    <w:rPr>
      <w:sz w:val="21"/>
    </w:rPr>
  </w:style>
  <w:style w:type="character" w:styleId="PageNumber">
    <w:name w:val="page number"/>
    <w:basedOn w:val="DefaultParagraphFont"/>
  </w:style>
  <w:style w:type="character" w:styleId="Hyperlink">
    <w:name w:val="Hyperlink"/>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qFormat/>
    <w:pPr>
      <w:keepNext/>
      <w:keepLines/>
      <w:widowControl w:val="0"/>
      <w:spacing w:before="240" w:after="0"/>
      <w:outlineLvl w:val="0"/>
    </w:pPr>
    <w:rPr>
      <w:rFonts w:ascii="Calibri Light" w:eastAsia="SimSun" w:hAnsi="Calibri Light" w:cs="Times New Roman" w:hint="eastAsia"/>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pPr>
      <w:tabs>
        <w:tab w:val="center" w:pos="4680"/>
        <w:tab w:val="right" w:pos="9360"/>
      </w:tabs>
      <w:spacing w:after="0"/>
    </w:pPr>
    <w:rPr>
      <w:sz w:val="21"/>
    </w:rPr>
  </w:style>
  <w:style w:type="character" w:styleId="PageNumber">
    <w:name w:val="page number"/>
    <w:basedOn w:val="DefaultParagraphFont"/>
  </w:style>
  <w:style w:type="character" w:styleId="Hyperlink">
    <w:name w:val="Hyperlink"/>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2020-12-09T18:43:00Z</dcterms:created>
  <dcterms:modified xsi:type="dcterms:W3CDTF">2020-12-09T18:43:00Z</dcterms:modified>
</cp:coreProperties>
</file>